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71" w:rsidRDefault="00E63AA4" w:rsidP="0066796D">
      <w:pPr>
        <w:jc w:val="center"/>
        <w:rPr>
          <w:color w:val="FF0000"/>
          <w:sz w:val="22"/>
          <w:szCs w:val="22"/>
        </w:rPr>
      </w:pPr>
      <w:bookmarkStart w:id="0" w:name="_GoBack"/>
      <w:bookmarkEnd w:id="0"/>
      <w:r>
        <w:rPr>
          <w:color w:val="FF0000"/>
          <w:sz w:val="22"/>
          <w:szCs w:val="22"/>
        </w:rPr>
        <w:t>PREA SIGN-ON LETTER TO REMOVE YOUTH FROM ADULT JAILS AND PRISONS</w:t>
      </w:r>
    </w:p>
    <w:p w:rsidR="00EC11CE" w:rsidRDefault="00EC11CE" w:rsidP="0066796D">
      <w:pPr>
        <w:jc w:val="center"/>
        <w:rPr>
          <w:color w:val="FF0000"/>
          <w:sz w:val="22"/>
          <w:szCs w:val="22"/>
        </w:rPr>
      </w:pPr>
    </w:p>
    <w:p w:rsidR="009B77AF" w:rsidRDefault="00FE422A" w:rsidP="0066796D">
      <w:pPr>
        <w:jc w:val="center"/>
        <w:rPr>
          <w:color w:val="FF0000"/>
          <w:sz w:val="22"/>
          <w:szCs w:val="22"/>
        </w:rPr>
      </w:pPr>
      <w:r>
        <w:rPr>
          <w:color w:val="FF0000"/>
          <w:sz w:val="22"/>
          <w:szCs w:val="22"/>
        </w:rPr>
        <w:t>This letter has the f</w:t>
      </w:r>
      <w:r w:rsidR="0066796D">
        <w:rPr>
          <w:color w:val="FF0000"/>
          <w:sz w:val="22"/>
          <w:szCs w:val="22"/>
        </w:rPr>
        <w:t xml:space="preserve">inal </w:t>
      </w:r>
      <w:r w:rsidR="00595F7D">
        <w:rPr>
          <w:color w:val="FF0000"/>
          <w:sz w:val="22"/>
          <w:szCs w:val="22"/>
        </w:rPr>
        <w:t>substantive recommendations</w:t>
      </w:r>
      <w:r>
        <w:rPr>
          <w:color w:val="FF0000"/>
          <w:sz w:val="22"/>
          <w:szCs w:val="22"/>
        </w:rPr>
        <w:t xml:space="preserve"> we are asking people to sign onto.  </w:t>
      </w:r>
      <w:r w:rsidR="00BA7FD8">
        <w:rPr>
          <w:color w:val="FF0000"/>
          <w:sz w:val="22"/>
          <w:szCs w:val="22"/>
        </w:rPr>
        <w:br/>
      </w:r>
      <w:r>
        <w:rPr>
          <w:color w:val="FF0000"/>
          <w:sz w:val="22"/>
          <w:szCs w:val="22"/>
        </w:rPr>
        <w:t xml:space="preserve">The footnotes and minor grammar edits are still in process.  </w:t>
      </w:r>
    </w:p>
    <w:p w:rsidR="000935A5" w:rsidRDefault="000935A5" w:rsidP="0066796D">
      <w:pPr>
        <w:jc w:val="center"/>
        <w:rPr>
          <w:color w:val="FF0000"/>
          <w:sz w:val="22"/>
          <w:szCs w:val="22"/>
        </w:rPr>
      </w:pPr>
    </w:p>
    <w:p w:rsidR="00CE4A70" w:rsidRDefault="000935A5" w:rsidP="00D315C2">
      <w:pPr>
        <w:rPr>
          <w:color w:val="FF0000"/>
          <w:sz w:val="22"/>
          <w:szCs w:val="22"/>
        </w:rPr>
      </w:pPr>
      <w:r>
        <w:rPr>
          <w:color w:val="FF0000"/>
          <w:sz w:val="22"/>
          <w:szCs w:val="22"/>
        </w:rPr>
        <w:t>To sign-onto this letter</w:t>
      </w:r>
      <w:r w:rsidR="00CE4A70">
        <w:rPr>
          <w:color w:val="FF0000"/>
          <w:sz w:val="22"/>
          <w:szCs w:val="22"/>
        </w:rPr>
        <w:t xml:space="preserve">, please send an email to </w:t>
      </w:r>
      <w:hyperlink r:id="rId9" w:history="1">
        <w:r w:rsidR="00CE4A70" w:rsidRPr="00D3454B">
          <w:rPr>
            <w:rStyle w:val="Hyperlink"/>
            <w:sz w:val="22"/>
            <w:szCs w:val="22"/>
          </w:rPr>
          <w:t>jjcampaign@cfyj.org</w:t>
        </w:r>
      </w:hyperlink>
      <w:r w:rsidR="00E957B8">
        <w:rPr>
          <w:color w:val="FF0000"/>
          <w:sz w:val="22"/>
          <w:szCs w:val="22"/>
        </w:rPr>
        <w:t xml:space="preserve">.  </w:t>
      </w:r>
    </w:p>
    <w:p w:rsidR="00CE4A70" w:rsidRDefault="00CE4A70" w:rsidP="00D315C2">
      <w:pPr>
        <w:rPr>
          <w:color w:val="FF0000"/>
          <w:sz w:val="22"/>
          <w:szCs w:val="22"/>
        </w:rPr>
      </w:pPr>
    </w:p>
    <w:p w:rsidR="000935A5" w:rsidRDefault="00CE4A70" w:rsidP="00D315C2">
      <w:pPr>
        <w:rPr>
          <w:color w:val="FF0000"/>
          <w:sz w:val="22"/>
          <w:szCs w:val="22"/>
        </w:rPr>
      </w:pPr>
      <w:r>
        <w:rPr>
          <w:color w:val="FF0000"/>
          <w:sz w:val="22"/>
          <w:szCs w:val="22"/>
        </w:rPr>
        <w:t xml:space="preserve">Organizations:  </w:t>
      </w:r>
      <w:r w:rsidR="000935A5">
        <w:rPr>
          <w:color w:val="FF0000"/>
          <w:sz w:val="22"/>
          <w:szCs w:val="22"/>
        </w:rPr>
        <w:t xml:space="preserve">please </w:t>
      </w:r>
      <w:r>
        <w:rPr>
          <w:color w:val="FF0000"/>
          <w:sz w:val="22"/>
          <w:szCs w:val="22"/>
        </w:rPr>
        <w:t xml:space="preserve">send the name of your organization and city/state.  </w:t>
      </w:r>
    </w:p>
    <w:p w:rsidR="00D315C2" w:rsidRDefault="00D315C2" w:rsidP="00D315C2">
      <w:pPr>
        <w:rPr>
          <w:color w:val="FF0000"/>
          <w:sz w:val="22"/>
          <w:szCs w:val="22"/>
        </w:rPr>
      </w:pPr>
    </w:p>
    <w:p w:rsidR="00CE4A70" w:rsidRPr="0066796D" w:rsidRDefault="00CE4A70" w:rsidP="00D315C2">
      <w:pPr>
        <w:rPr>
          <w:color w:val="FF0000"/>
          <w:sz w:val="22"/>
          <w:szCs w:val="22"/>
        </w:rPr>
      </w:pPr>
      <w:r>
        <w:rPr>
          <w:color w:val="FF0000"/>
          <w:sz w:val="22"/>
          <w:szCs w:val="22"/>
        </w:rPr>
        <w:t xml:space="preserve">Individuals:  please send your full name, any relevant descriptors (e.g., </w:t>
      </w:r>
      <w:r w:rsidR="00E957B8">
        <w:rPr>
          <w:color w:val="FF0000"/>
          <w:sz w:val="22"/>
          <w:szCs w:val="22"/>
        </w:rPr>
        <w:t>family member, professor at university, PTA president), and city/state</w:t>
      </w:r>
    </w:p>
    <w:p w:rsidR="008001BD" w:rsidRDefault="008001BD" w:rsidP="00C76CDA">
      <w:pPr>
        <w:rPr>
          <w:sz w:val="22"/>
          <w:szCs w:val="22"/>
        </w:rPr>
      </w:pPr>
    </w:p>
    <w:p w:rsidR="00773639" w:rsidRDefault="00773639" w:rsidP="00773639">
      <w:pPr>
        <w:pBdr>
          <w:bottom w:val="single" w:sz="4" w:space="1" w:color="auto"/>
        </w:pBdr>
        <w:rPr>
          <w:sz w:val="22"/>
          <w:szCs w:val="22"/>
        </w:rPr>
      </w:pPr>
    </w:p>
    <w:p w:rsidR="00F66771" w:rsidRPr="00B12B0D" w:rsidRDefault="00F66771" w:rsidP="00C76CDA">
      <w:pPr>
        <w:rPr>
          <w:sz w:val="22"/>
          <w:szCs w:val="22"/>
        </w:rPr>
      </w:pPr>
    </w:p>
    <w:p w:rsidR="006E60A1" w:rsidRPr="00B12B0D" w:rsidRDefault="006E60A1" w:rsidP="00C76CDA">
      <w:pPr>
        <w:rPr>
          <w:sz w:val="22"/>
          <w:szCs w:val="22"/>
        </w:rPr>
      </w:pPr>
      <w:r w:rsidRPr="00B12B0D">
        <w:rPr>
          <w:sz w:val="22"/>
          <w:szCs w:val="22"/>
        </w:rPr>
        <w:t>April 4, 2011</w:t>
      </w:r>
    </w:p>
    <w:p w:rsidR="006E60A1" w:rsidRPr="00B12B0D" w:rsidRDefault="006E60A1" w:rsidP="00C76CDA">
      <w:pPr>
        <w:rPr>
          <w:sz w:val="22"/>
          <w:szCs w:val="22"/>
        </w:rPr>
      </w:pPr>
    </w:p>
    <w:p w:rsidR="006E60A1" w:rsidRPr="00B12B0D" w:rsidRDefault="006E60A1" w:rsidP="00C76CDA">
      <w:pPr>
        <w:rPr>
          <w:sz w:val="22"/>
          <w:szCs w:val="22"/>
        </w:rPr>
      </w:pPr>
      <w:r w:rsidRPr="00B12B0D">
        <w:rPr>
          <w:sz w:val="22"/>
          <w:szCs w:val="22"/>
        </w:rPr>
        <w:t>Attorney General Eric Holder, Jr.</w:t>
      </w:r>
    </w:p>
    <w:p w:rsidR="006E60A1" w:rsidRPr="00B12B0D" w:rsidRDefault="006E60A1" w:rsidP="00C76CDA">
      <w:pPr>
        <w:rPr>
          <w:sz w:val="22"/>
          <w:szCs w:val="22"/>
        </w:rPr>
      </w:pPr>
      <w:r w:rsidRPr="00B12B0D">
        <w:rPr>
          <w:sz w:val="22"/>
          <w:szCs w:val="22"/>
        </w:rPr>
        <w:t>U.S. Department of Justice</w:t>
      </w:r>
    </w:p>
    <w:p w:rsidR="006E60A1" w:rsidRPr="00B12B0D" w:rsidRDefault="006E60A1" w:rsidP="00C76CDA">
      <w:pPr>
        <w:rPr>
          <w:sz w:val="22"/>
          <w:szCs w:val="22"/>
        </w:rPr>
      </w:pPr>
      <w:r w:rsidRPr="00B12B0D">
        <w:rPr>
          <w:sz w:val="22"/>
          <w:szCs w:val="22"/>
        </w:rPr>
        <w:t>950 Pennsylvania Avenue NW</w:t>
      </w:r>
    </w:p>
    <w:p w:rsidR="006E60A1" w:rsidRPr="00B12B0D" w:rsidRDefault="006E60A1" w:rsidP="00C76CDA">
      <w:pPr>
        <w:rPr>
          <w:sz w:val="22"/>
          <w:szCs w:val="22"/>
        </w:rPr>
      </w:pPr>
      <w:r w:rsidRPr="00B12B0D">
        <w:rPr>
          <w:sz w:val="22"/>
          <w:szCs w:val="22"/>
        </w:rPr>
        <w:t>Washington, DC 20530-0001</w:t>
      </w:r>
    </w:p>
    <w:p w:rsidR="006E60A1" w:rsidRPr="00B12B0D" w:rsidRDefault="006E60A1" w:rsidP="00C76CDA">
      <w:pPr>
        <w:rPr>
          <w:sz w:val="22"/>
          <w:szCs w:val="22"/>
        </w:rPr>
      </w:pPr>
    </w:p>
    <w:p w:rsidR="00431185" w:rsidRPr="00B12B0D" w:rsidRDefault="00431185" w:rsidP="00C76CDA">
      <w:pPr>
        <w:rPr>
          <w:sz w:val="22"/>
          <w:szCs w:val="22"/>
        </w:rPr>
      </w:pPr>
      <w:r w:rsidRPr="00B12B0D">
        <w:rPr>
          <w:sz w:val="22"/>
          <w:szCs w:val="22"/>
        </w:rPr>
        <w:t xml:space="preserve">RE: </w:t>
      </w:r>
      <w:r w:rsidRPr="00B12B0D">
        <w:rPr>
          <w:sz w:val="22"/>
          <w:szCs w:val="22"/>
        </w:rPr>
        <w:tab/>
        <w:t xml:space="preserve">Docket No. OAG-131; AG Order No. </w:t>
      </w:r>
      <w:r w:rsidR="0073754E" w:rsidRPr="00B12B0D">
        <w:rPr>
          <w:sz w:val="22"/>
          <w:szCs w:val="22"/>
        </w:rPr>
        <w:t>3244 - 2011</w:t>
      </w:r>
    </w:p>
    <w:p w:rsidR="00431185" w:rsidRPr="00B12B0D" w:rsidRDefault="00431185" w:rsidP="00C76CDA">
      <w:pPr>
        <w:rPr>
          <w:sz w:val="22"/>
          <w:szCs w:val="22"/>
        </w:rPr>
      </w:pPr>
      <w:r w:rsidRPr="00B12B0D">
        <w:rPr>
          <w:sz w:val="22"/>
          <w:szCs w:val="22"/>
        </w:rPr>
        <w:tab/>
        <w:t>National Standards to Prevent, Detect, and Respond to Prison Rape</w:t>
      </w:r>
    </w:p>
    <w:p w:rsidR="00311A42" w:rsidRPr="00B12B0D" w:rsidRDefault="00311A42" w:rsidP="00C76CDA">
      <w:pPr>
        <w:rPr>
          <w:b/>
          <w:sz w:val="22"/>
          <w:szCs w:val="22"/>
        </w:rPr>
      </w:pPr>
      <w:r w:rsidRPr="00B12B0D">
        <w:rPr>
          <w:b/>
          <w:sz w:val="22"/>
          <w:szCs w:val="22"/>
        </w:rPr>
        <w:tab/>
        <w:t>Questions 36 and 37</w:t>
      </w:r>
    </w:p>
    <w:p w:rsidR="006C4E9E" w:rsidRPr="00B12B0D" w:rsidRDefault="006C4E9E" w:rsidP="00677444">
      <w:pPr>
        <w:ind w:left="720"/>
        <w:rPr>
          <w:sz w:val="22"/>
          <w:szCs w:val="22"/>
        </w:rPr>
      </w:pPr>
    </w:p>
    <w:p w:rsidR="00677444" w:rsidRPr="00B12B0D" w:rsidRDefault="00677444" w:rsidP="00C76CDA">
      <w:pPr>
        <w:rPr>
          <w:b/>
          <w:sz w:val="22"/>
          <w:szCs w:val="22"/>
        </w:rPr>
      </w:pPr>
    </w:p>
    <w:p w:rsidR="00431185" w:rsidRPr="00B12B0D" w:rsidRDefault="00431185" w:rsidP="000F623D">
      <w:pPr>
        <w:rPr>
          <w:sz w:val="22"/>
          <w:szCs w:val="22"/>
        </w:rPr>
      </w:pPr>
      <w:r w:rsidRPr="00B12B0D">
        <w:rPr>
          <w:sz w:val="22"/>
          <w:szCs w:val="22"/>
        </w:rPr>
        <w:t>Dear Attorney General Holder,</w:t>
      </w:r>
    </w:p>
    <w:p w:rsidR="00431185" w:rsidRPr="00B12B0D" w:rsidRDefault="00431185" w:rsidP="000F623D">
      <w:pPr>
        <w:rPr>
          <w:sz w:val="22"/>
          <w:szCs w:val="22"/>
        </w:rPr>
      </w:pPr>
    </w:p>
    <w:p w:rsidR="00495551" w:rsidRPr="00B12B0D" w:rsidRDefault="007E615D" w:rsidP="000F623D">
      <w:pPr>
        <w:rPr>
          <w:sz w:val="22"/>
          <w:szCs w:val="22"/>
        </w:rPr>
      </w:pPr>
      <w:r w:rsidRPr="00B12B0D">
        <w:rPr>
          <w:sz w:val="22"/>
          <w:szCs w:val="22"/>
        </w:rPr>
        <w:t>The signatories to this letter</w:t>
      </w:r>
      <w:r w:rsidR="009B262A" w:rsidRPr="00B12B0D">
        <w:rPr>
          <w:sz w:val="22"/>
          <w:szCs w:val="22"/>
        </w:rPr>
        <w:t xml:space="preserve"> </w:t>
      </w:r>
      <w:r w:rsidR="00AB7B95" w:rsidRPr="00B12B0D">
        <w:rPr>
          <w:sz w:val="22"/>
          <w:szCs w:val="22"/>
        </w:rPr>
        <w:t xml:space="preserve">thank you for considering </w:t>
      </w:r>
      <w:r w:rsidR="00767C38" w:rsidRPr="00B12B0D">
        <w:rPr>
          <w:sz w:val="22"/>
          <w:szCs w:val="22"/>
        </w:rPr>
        <w:t>the</w:t>
      </w:r>
      <w:r w:rsidR="00495831" w:rsidRPr="00B12B0D">
        <w:rPr>
          <w:sz w:val="22"/>
          <w:szCs w:val="22"/>
        </w:rPr>
        <w:t xml:space="preserve"> </w:t>
      </w:r>
      <w:r w:rsidR="00E04826" w:rsidRPr="00B12B0D">
        <w:rPr>
          <w:sz w:val="22"/>
          <w:szCs w:val="22"/>
        </w:rPr>
        <w:t xml:space="preserve">comments </w:t>
      </w:r>
      <w:r w:rsidR="00AB7B95" w:rsidRPr="00B12B0D">
        <w:rPr>
          <w:sz w:val="22"/>
          <w:szCs w:val="22"/>
        </w:rPr>
        <w:t xml:space="preserve">submitted </w:t>
      </w:r>
      <w:r w:rsidR="00E04826" w:rsidRPr="00B12B0D">
        <w:rPr>
          <w:sz w:val="22"/>
          <w:szCs w:val="22"/>
        </w:rPr>
        <w:t>in response to</w:t>
      </w:r>
      <w:r w:rsidR="00AB7B95" w:rsidRPr="00B12B0D">
        <w:rPr>
          <w:sz w:val="22"/>
          <w:szCs w:val="22"/>
        </w:rPr>
        <w:t xml:space="preserve"> the Advanced Notice of Proposed Rulemaking</w:t>
      </w:r>
      <w:r w:rsidR="00AA1B45" w:rsidRPr="00B12B0D">
        <w:rPr>
          <w:sz w:val="22"/>
          <w:szCs w:val="22"/>
        </w:rPr>
        <w:t xml:space="preserve"> regarding the Prison Rape Elimination Act (PREA)</w:t>
      </w:r>
      <w:r w:rsidR="00AB7B95" w:rsidRPr="00B12B0D">
        <w:rPr>
          <w:sz w:val="22"/>
          <w:szCs w:val="22"/>
        </w:rPr>
        <w:t xml:space="preserve"> last May.  We </w:t>
      </w:r>
      <w:r w:rsidR="00AA1B45" w:rsidRPr="00B12B0D">
        <w:rPr>
          <w:sz w:val="22"/>
          <w:szCs w:val="22"/>
        </w:rPr>
        <w:t>appreciate the Department’s continued exploration of the best ways to protect incarcerated youth</w:t>
      </w:r>
      <w:r w:rsidR="00883683" w:rsidRPr="00B12B0D">
        <w:rPr>
          <w:sz w:val="22"/>
          <w:szCs w:val="22"/>
          <w:vertAlign w:val="superscript"/>
        </w:rPr>
        <w:footnoteReference w:id="1"/>
      </w:r>
      <w:r w:rsidR="00AA1B45" w:rsidRPr="00B12B0D">
        <w:rPr>
          <w:sz w:val="22"/>
          <w:szCs w:val="22"/>
        </w:rPr>
        <w:t xml:space="preserve"> from the horrors of sexual victimization in custody </w:t>
      </w:r>
      <w:r w:rsidR="00DC7C79" w:rsidRPr="00B12B0D">
        <w:rPr>
          <w:sz w:val="22"/>
          <w:szCs w:val="22"/>
        </w:rPr>
        <w:t xml:space="preserve">and </w:t>
      </w:r>
      <w:r w:rsidR="00AB7B95" w:rsidRPr="00B12B0D">
        <w:rPr>
          <w:sz w:val="22"/>
          <w:szCs w:val="22"/>
        </w:rPr>
        <w:t xml:space="preserve">are pleased </w:t>
      </w:r>
      <w:r w:rsidR="00AA1B45" w:rsidRPr="00B12B0D">
        <w:rPr>
          <w:sz w:val="22"/>
          <w:szCs w:val="22"/>
        </w:rPr>
        <w:t>that you have posed questions to the field about how the Department’s draft regulations could be strengthened to address the particular dangers for youth housed in adult jails and prisons.</w:t>
      </w:r>
      <w:r w:rsidR="00640056" w:rsidRPr="00B12B0D">
        <w:rPr>
          <w:sz w:val="22"/>
          <w:szCs w:val="22"/>
        </w:rPr>
        <w:t xml:space="preserve">  </w:t>
      </w:r>
    </w:p>
    <w:p w:rsidR="00495551" w:rsidRPr="00B12B0D" w:rsidRDefault="00495551" w:rsidP="000F623D">
      <w:pPr>
        <w:rPr>
          <w:sz w:val="22"/>
          <w:szCs w:val="22"/>
        </w:rPr>
      </w:pPr>
    </w:p>
    <w:p w:rsidR="00554E89" w:rsidRPr="00B12B0D" w:rsidRDefault="00C96DFD" w:rsidP="000F623D">
      <w:pPr>
        <w:rPr>
          <w:sz w:val="22"/>
          <w:szCs w:val="22"/>
        </w:rPr>
      </w:pPr>
      <w:r w:rsidRPr="00B12B0D">
        <w:rPr>
          <w:sz w:val="22"/>
          <w:szCs w:val="22"/>
        </w:rPr>
        <w:t>In this letter we</w:t>
      </w:r>
      <w:r w:rsidR="00554E89" w:rsidRPr="00B12B0D">
        <w:rPr>
          <w:sz w:val="22"/>
          <w:szCs w:val="22"/>
        </w:rPr>
        <w:t xml:space="preserve"> reaffirm our request that the Department </w:t>
      </w:r>
      <w:r w:rsidR="00AA1B45" w:rsidRPr="00B12B0D">
        <w:rPr>
          <w:sz w:val="22"/>
          <w:szCs w:val="22"/>
        </w:rPr>
        <w:t>use these regulations to</w:t>
      </w:r>
      <w:r w:rsidR="00554E89" w:rsidRPr="00B12B0D">
        <w:rPr>
          <w:sz w:val="22"/>
          <w:szCs w:val="22"/>
        </w:rPr>
        <w:t xml:space="preserve"> ban placing youth in adult jails </w:t>
      </w:r>
      <w:r w:rsidR="00616F79" w:rsidRPr="00B12B0D">
        <w:rPr>
          <w:sz w:val="22"/>
          <w:szCs w:val="22"/>
        </w:rPr>
        <w:t xml:space="preserve">and </w:t>
      </w:r>
      <w:r w:rsidR="00554E89" w:rsidRPr="00B12B0D">
        <w:rPr>
          <w:sz w:val="22"/>
          <w:szCs w:val="22"/>
        </w:rPr>
        <w:t>prisons</w:t>
      </w:r>
      <w:r w:rsidRPr="00B12B0D">
        <w:rPr>
          <w:sz w:val="22"/>
          <w:szCs w:val="22"/>
        </w:rPr>
        <w:t xml:space="preserve">.  </w:t>
      </w:r>
      <w:r w:rsidR="002101DE" w:rsidRPr="00B12B0D">
        <w:rPr>
          <w:sz w:val="22"/>
          <w:szCs w:val="22"/>
        </w:rPr>
        <w:t>A</w:t>
      </w:r>
      <w:r w:rsidR="002101DE" w:rsidRPr="00B12B0D">
        <w:rPr>
          <w:sz w:val="22"/>
          <w:szCs w:val="22"/>
          <w:lang w:bidi="en-US"/>
        </w:rPr>
        <w:t xml:space="preserve">dult facilities housing children and </w:t>
      </w:r>
      <w:r w:rsidR="00BF12B9" w:rsidRPr="00B12B0D">
        <w:rPr>
          <w:sz w:val="22"/>
          <w:szCs w:val="22"/>
          <w:lang w:bidi="en-US"/>
        </w:rPr>
        <w:t>youth</w:t>
      </w:r>
      <w:r w:rsidR="002101DE" w:rsidRPr="00B12B0D">
        <w:rPr>
          <w:sz w:val="22"/>
          <w:szCs w:val="22"/>
          <w:lang w:bidi="en-US"/>
        </w:rPr>
        <w:t xml:space="preserve"> face a dangerous dilemma</w:t>
      </w:r>
      <w:r w:rsidR="00AA1B45" w:rsidRPr="00B12B0D">
        <w:rPr>
          <w:sz w:val="22"/>
          <w:szCs w:val="22"/>
          <w:lang w:bidi="en-US"/>
        </w:rPr>
        <w:t>, forced</w:t>
      </w:r>
      <w:r w:rsidR="002101DE" w:rsidRPr="00B12B0D">
        <w:rPr>
          <w:sz w:val="22"/>
          <w:szCs w:val="22"/>
          <w:lang w:bidi="en-US"/>
        </w:rPr>
        <w:t xml:space="preserve"> to choos</w:t>
      </w:r>
      <w:r w:rsidR="00AA1B45" w:rsidRPr="00B12B0D">
        <w:rPr>
          <w:sz w:val="22"/>
          <w:szCs w:val="22"/>
          <w:lang w:bidi="en-US"/>
        </w:rPr>
        <w:t>e</w:t>
      </w:r>
      <w:r w:rsidR="002101DE" w:rsidRPr="00B12B0D">
        <w:rPr>
          <w:sz w:val="22"/>
          <w:szCs w:val="22"/>
          <w:lang w:bidi="en-US"/>
        </w:rPr>
        <w:t xml:space="preserve"> between housing youth in the general adult population</w:t>
      </w:r>
      <w:r w:rsidR="00BF12B9" w:rsidRPr="00B12B0D">
        <w:rPr>
          <w:sz w:val="22"/>
          <w:szCs w:val="22"/>
          <w:lang w:bidi="en-US"/>
        </w:rPr>
        <w:t>,</w:t>
      </w:r>
      <w:r w:rsidR="002101DE" w:rsidRPr="00B12B0D">
        <w:rPr>
          <w:sz w:val="22"/>
          <w:szCs w:val="22"/>
          <w:lang w:bidi="en-US"/>
        </w:rPr>
        <w:t xml:space="preserve"> where they are at substantial risk </w:t>
      </w:r>
      <w:r w:rsidR="00BF12B9" w:rsidRPr="00B12B0D">
        <w:rPr>
          <w:sz w:val="22"/>
          <w:szCs w:val="22"/>
          <w:lang w:bidi="en-US"/>
        </w:rPr>
        <w:t xml:space="preserve">of both physical and </w:t>
      </w:r>
      <w:r w:rsidR="002101DE" w:rsidRPr="00B12B0D">
        <w:rPr>
          <w:sz w:val="22"/>
          <w:szCs w:val="22"/>
          <w:lang w:bidi="en-US"/>
        </w:rPr>
        <w:t xml:space="preserve">sexual abuse, </w:t>
      </w:r>
      <w:r w:rsidR="00AA1B45" w:rsidRPr="00B12B0D">
        <w:rPr>
          <w:sz w:val="22"/>
          <w:szCs w:val="22"/>
          <w:lang w:bidi="en-US"/>
        </w:rPr>
        <w:t>and</w:t>
      </w:r>
      <w:r w:rsidR="002101DE" w:rsidRPr="00B12B0D">
        <w:rPr>
          <w:sz w:val="22"/>
          <w:szCs w:val="22"/>
          <w:lang w:bidi="en-US"/>
        </w:rPr>
        <w:t xml:space="preserve"> housing youth in segregated settings which cause or exacerbate mental health problems.  Neither option is safe </w:t>
      </w:r>
      <w:r w:rsidR="00D7470A">
        <w:rPr>
          <w:sz w:val="22"/>
          <w:szCs w:val="22"/>
          <w:lang w:bidi="en-US"/>
        </w:rPr>
        <w:t>nor</w:t>
      </w:r>
      <w:r w:rsidR="002101DE" w:rsidRPr="00B12B0D">
        <w:rPr>
          <w:sz w:val="22"/>
          <w:szCs w:val="22"/>
          <w:lang w:bidi="en-US"/>
        </w:rPr>
        <w:t xml:space="preserve"> appropriate for </w:t>
      </w:r>
      <w:r w:rsidR="00BF12B9" w:rsidRPr="00B12B0D">
        <w:rPr>
          <w:sz w:val="22"/>
          <w:szCs w:val="22"/>
          <w:lang w:bidi="en-US"/>
        </w:rPr>
        <w:t>children</w:t>
      </w:r>
      <w:r w:rsidR="002101DE" w:rsidRPr="00B12B0D">
        <w:rPr>
          <w:sz w:val="22"/>
          <w:szCs w:val="22"/>
          <w:lang w:bidi="en-US"/>
        </w:rPr>
        <w:t xml:space="preserve">, nor a good practice for corrections agencies ill-equipped to address the unique needs of </w:t>
      </w:r>
      <w:r w:rsidR="00817171" w:rsidRPr="00B12B0D">
        <w:rPr>
          <w:sz w:val="22"/>
          <w:szCs w:val="22"/>
          <w:lang w:bidi="en-US"/>
        </w:rPr>
        <w:t>youth</w:t>
      </w:r>
      <w:r w:rsidR="002101DE" w:rsidRPr="00B12B0D">
        <w:rPr>
          <w:sz w:val="22"/>
          <w:szCs w:val="22"/>
          <w:lang w:bidi="en-US"/>
        </w:rPr>
        <w:t xml:space="preserve">.  </w:t>
      </w:r>
      <w:r w:rsidR="00033428" w:rsidRPr="00B12B0D">
        <w:rPr>
          <w:sz w:val="22"/>
          <w:szCs w:val="22"/>
          <w:lang w:bidi="en-US"/>
        </w:rPr>
        <w:t xml:space="preserve">We believe </w:t>
      </w:r>
      <w:r w:rsidR="00E53384" w:rsidRPr="00B12B0D">
        <w:rPr>
          <w:sz w:val="22"/>
          <w:szCs w:val="22"/>
          <w:lang w:bidi="en-US"/>
        </w:rPr>
        <w:t xml:space="preserve">that </w:t>
      </w:r>
      <w:r w:rsidR="00033428" w:rsidRPr="00B12B0D">
        <w:rPr>
          <w:sz w:val="22"/>
          <w:szCs w:val="22"/>
          <w:lang w:bidi="en-US"/>
        </w:rPr>
        <w:t>a</w:t>
      </w:r>
      <w:r w:rsidR="00655B40" w:rsidRPr="00B12B0D">
        <w:rPr>
          <w:sz w:val="22"/>
          <w:szCs w:val="22"/>
          <w:lang w:bidi="en-US"/>
        </w:rPr>
        <w:t>ny</w:t>
      </w:r>
      <w:r w:rsidR="00033428" w:rsidRPr="00B12B0D">
        <w:rPr>
          <w:sz w:val="22"/>
          <w:szCs w:val="22"/>
          <w:lang w:bidi="en-US"/>
        </w:rPr>
        <w:t xml:space="preserve">thing less than a complete ban </w:t>
      </w:r>
      <w:r w:rsidR="00DD3173" w:rsidRPr="00B12B0D">
        <w:rPr>
          <w:sz w:val="22"/>
          <w:szCs w:val="22"/>
          <w:lang w:bidi="en-US"/>
        </w:rPr>
        <w:t xml:space="preserve">would </w:t>
      </w:r>
      <w:r w:rsidR="00AA1B45" w:rsidRPr="00B12B0D">
        <w:rPr>
          <w:sz w:val="22"/>
          <w:szCs w:val="22"/>
          <w:lang w:bidi="en-US"/>
        </w:rPr>
        <w:t>ignore</w:t>
      </w:r>
      <w:r w:rsidR="00DD3173" w:rsidRPr="00B12B0D">
        <w:rPr>
          <w:sz w:val="22"/>
          <w:szCs w:val="22"/>
          <w:lang w:bidi="en-US"/>
        </w:rPr>
        <w:t xml:space="preserve"> all</w:t>
      </w:r>
      <w:r w:rsidR="00D31C74" w:rsidRPr="00B12B0D">
        <w:rPr>
          <w:sz w:val="22"/>
          <w:szCs w:val="22"/>
          <w:lang w:bidi="en-US"/>
        </w:rPr>
        <w:t xml:space="preserve"> of</w:t>
      </w:r>
      <w:r w:rsidR="00DD3173" w:rsidRPr="00B12B0D">
        <w:rPr>
          <w:sz w:val="22"/>
          <w:szCs w:val="22"/>
          <w:lang w:bidi="en-US"/>
        </w:rPr>
        <w:t xml:space="preserve"> the available research and evidence, expert opinion from correctional </w:t>
      </w:r>
      <w:r w:rsidR="006F1C86" w:rsidRPr="00B12B0D">
        <w:rPr>
          <w:sz w:val="22"/>
          <w:szCs w:val="22"/>
          <w:lang w:bidi="en-US"/>
        </w:rPr>
        <w:t>experts</w:t>
      </w:r>
      <w:r w:rsidR="00DD3173" w:rsidRPr="00B12B0D">
        <w:rPr>
          <w:sz w:val="22"/>
          <w:szCs w:val="22"/>
          <w:lang w:bidi="en-US"/>
        </w:rPr>
        <w:t xml:space="preserve">, </w:t>
      </w:r>
      <w:r w:rsidR="00AA1B45" w:rsidRPr="00B12B0D">
        <w:rPr>
          <w:sz w:val="22"/>
          <w:szCs w:val="22"/>
          <w:lang w:bidi="en-US"/>
        </w:rPr>
        <w:t xml:space="preserve">and </w:t>
      </w:r>
      <w:r w:rsidR="00DD3173" w:rsidRPr="00B12B0D">
        <w:rPr>
          <w:sz w:val="22"/>
          <w:szCs w:val="22"/>
          <w:lang w:bidi="en-US"/>
        </w:rPr>
        <w:t xml:space="preserve">current policies in federal and </w:t>
      </w:r>
      <w:r w:rsidR="00033428" w:rsidRPr="00B12B0D">
        <w:rPr>
          <w:sz w:val="22"/>
          <w:szCs w:val="22"/>
          <w:lang w:bidi="en-US"/>
        </w:rPr>
        <w:t xml:space="preserve">international law, and would </w:t>
      </w:r>
      <w:r w:rsidR="00D31C74" w:rsidRPr="00B12B0D">
        <w:rPr>
          <w:sz w:val="22"/>
          <w:szCs w:val="22"/>
          <w:lang w:bidi="en-US"/>
        </w:rPr>
        <w:t xml:space="preserve">fail to meet </w:t>
      </w:r>
      <w:r w:rsidR="00033428" w:rsidRPr="00B12B0D">
        <w:rPr>
          <w:sz w:val="22"/>
          <w:szCs w:val="22"/>
          <w:lang w:bidi="en-US"/>
        </w:rPr>
        <w:t xml:space="preserve">the </w:t>
      </w:r>
      <w:r w:rsidR="007B57C6" w:rsidRPr="00B12B0D">
        <w:rPr>
          <w:sz w:val="22"/>
          <w:szCs w:val="22"/>
          <w:lang w:bidi="en-US"/>
        </w:rPr>
        <w:t>goals</w:t>
      </w:r>
      <w:r w:rsidR="00D31C74" w:rsidRPr="00B12B0D">
        <w:rPr>
          <w:sz w:val="22"/>
          <w:szCs w:val="22"/>
          <w:lang w:bidi="en-US"/>
        </w:rPr>
        <w:t xml:space="preserve"> established by Congress when passing </w:t>
      </w:r>
      <w:r w:rsidR="00F16B92">
        <w:rPr>
          <w:sz w:val="22"/>
          <w:szCs w:val="22"/>
          <w:lang w:bidi="en-US"/>
        </w:rPr>
        <w:t>PREA</w:t>
      </w:r>
      <w:r w:rsidR="00033428" w:rsidRPr="00B12B0D">
        <w:rPr>
          <w:sz w:val="22"/>
          <w:szCs w:val="22"/>
          <w:lang w:bidi="en-US"/>
        </w:rPr>
        <w:t>.</w:t>
      </w:r>
    </w:p>
    <w:p w:rsidR="001D4DB5" w:rsidRPr="00B12B0D" w:rsidRDefault="001D4DB5" w:rsidP="000F623D">
      <w:pPr>
        <w:rPr>
          <w:i/>
          <w:sz w:val="22"/>
          <w:szCs w:val="22"/>
        </w:rPr>
      </w:pPr>
      <w:r w:rsidRPr="00B12B0D">
        <w:rPr>
          <w:b/>
          <w:i/>
          <w:sz w:val="22"/>
          <w:szCs w:val="22"/>
        </w:rPr>
        <w:lastRenderedPageBreak/>
        <w:t>Question 36:</w:t>
      </w:r>
      <w:r w:rsidRPr="00B12B0D">
        <w:rPr>
          <w:i/>
          <w:sz w:val="22"/>
          <w:szCs w:val="22"/>
        </w:rPr>
        <w:t xml:space="preserve"> Should the final rule include a standard that governs the placement of juveniles in adult facilities?</w:t>
      </w:r>
    </w:p>
    <w:p w:rsidR="00F426AD" w:rsidRPr="00B12B0D" w:rsidRDefault="00F426AD" w:rsidP="000F623D">
      <w:pPr>
        <w:rPr>
          <w:sz w:val="22"/>
          <w:szCs w:val="22"/>
        </w:rPr>
      </w:pPr>
    </w:p>
    <w:p w:rsidR="00F83181" w:rsidRPr="00B12B0D" w:rsidRDefault="00F83181" w:rsidP="000F623D">
      <w:pPr>
        <w:rPr>
          <w:iCs/>
          <w:sz w:val="22"/>
          <w:szCs w:val="22"/>
        </w:rPr>
      </w:pPr>
      <w:r w:rsidRPr="00B12B0D">
        <w:rPr>
          <w:iCs/>
          <w:sz w:val="22"/>
          <w:szCs w:val="22"/>
        </w:rPr>
        <w:t xml:space="preserve">Yes.  </w:t>
      </w:r>
      <w:r w:rsidR="00B5664E" w:rsidRPr="00B12B0D">
        <w:rPr>
          <w:iCs/>
          <w:sz w:val="22"/>
          <w:szCs w:val="22"/>
        </w:rPr>
        <w:t>According to the Bureau of Justice Statistics (BJS), 10,000 children are held in adult jails and prisons</w:t>
      </w:r>
      <w:r w:rsidR="0052446B" w:rsidRPr="00B12B0D">
        <w:rPr>
          <w:iCs/>
          <w:sz w:val="22"/>
          <w:szCs w:val="22"/>
        </w:rPr>
        <w:t xml:space="preserve"> </w:t>
      </w:r>
      <w:r w:rsidR="001A5EA2" w:rsidRPr="00B12B0D">
        <w:rPr>
          <w:iCs/>
          <w:sz w:val="22"/>
          <w:szCs w:val="22"/>
        </w:rPr>
        <w:t xml:space="preserve">daily, </w:t>
      </w:r>
      <w:r w:rsidR="00B5664E" w:rsidRPr="00B12B0D">
        <w:rPr>
          <w:iCs/>
          <w:sz w:val="22"/>
          <w:szCs w:val="22"/>
          <w:vertAlign w:val="superscript"/>
        </w:rPr>
        <w:footnoteReference w:id="2"/>
      </w:r>
      <w:r w:rsidR="00B5664E" w:rsidRPr="00B12B0D">
        <w:rPr>
          <w:iCs/>
          <w:sz w:val="22"/>
          <w:szCs w:val="22"/>
        </w:rPr>
        <w:t xml:space="preserve"> </w:t>
      </w:r>
      <w:r w:rsidR="001A5EA2" w:rsidRPr="00B12B0D">
        <w:rPr>
          <w:iCs/>
          <w:sz w:val="22"/>
          <w:szCs w:val="22"/>
        </w:rPr>
        <w:t>and t</w:t>
      </w:r>
      <w:r w:rsidR="00B5664E" w:rsidRPr="00B12B0D">
        <w:rPr>
          <w:iCs/>
          <w:sz w:val="22"/>
          <w:szCs w:val="22"/>
        </w:rPr>
        <w:t xml:space="preserve">he annual number of youth </w:t>
      </w:r>
      <w:r w:rsidR="001A5EA2" w:rsidRPr="00B12B0D">
        <w:rPr>
          <w:iCs/>
          <w:sz w:val="22"/>
          <w:szCs w:val="22"/>
        </w:rPr>
        <w:t>exposed to the dangers of sexual assault in</w:t>
      </w:r>
      <w:r w:rsidR="00B5664E" w:rsidRPr="00B12B0D">
        <w:rPr>
          <w:iCs/>
          <w:sz w:val="22"/>
          <w:szCs w:val="22"/>
        </w:rPr>
        <w:t xml:space="preserve"> adult facilities is significantly higher because of the “flow” of youth entering and exiting facilities.  </w:t>
      </w:r>
      <w:r w:rsidRPr="00B12B0D">
        <w:rPr>
          <w:iCs/>
          <w:sz w:val="22"/>
          <w:szCs w:val="22"/>
        </w:rPr>
        <w:t xml:space="preserve">The Department should protect </w:t>
      </w:r>
      <w:r w:rsidR="006F2240" w:rsidRPr="00B12B0D">
        <w:rPr>
          <w:iCs/>
          <w:sz w:val="22"/>
          <w:szCs w:val="22"/>
        </w:rPr>
        <w:t xml:space="preserve">these </w:t>
      </w:r>
      <w:r w:rsidRPr="00B12B0D">
        <w:rPr>
          <w:iCs/>
          <w:sz w:val="22"/>
          <w:szCs w:val="22"/>
        </w:rPr>
        <w:t xml:space="preserve">youth by requiring the removal of all youth under 18 from adult facilities.  </w:t>
      </w:r>
    </w:p>
    <w:p w:rsidR="00F83181" w:rsidRPr="00B12B0D" w:rsidRDefault="00F83181" w:rsidP="000F623D">
      <w:pPr>
        <w:rPr>
          <w:iCs/>
          <w:sz w:val="22"/>
          <w:szCs w:val="22"/>
        </w:rPr>
      </w:pPr>
    </w:p>
    <w:p w:rsidR="00E441A4" w:rsidRPr="00B12B0D" w:rsidRDefault="002E6B41" w:rsidP="000F623D">
      <w:pPr>
        <w:rPr>
          <w:iCs/>
          <w:sz w:val="22"/>
          <w:szCs w:val="22"/>
        </w:rPr>
      </w:pPr>
      <w:r w:rsidRPr="00B12B0D">
        <w:rPr>
          <w:iCs/>
          <w:sz w:val="22"/>
          <w:szCs w:val="22"/>
        </w:rPr>
        <w:t xml:space="preserve">It is not uncommon for a young person to have contact with the justice system once or twice, never to return.  But if a young person is sexually abused while in custody, he or she will suffer lifelong trauma from that abuse, which often results in mental illness, substance abuse, and a higher likelihood of </w:t>
      </w:r>
      <w:r w:rsidR="00767C38" w:rsidRPr="00B12B0D">
        <w:rPr>
          <w:iCs/>
          <w:sz w:val="22"/>
          <w:szCs w:val="22"/>
        </w:rPr>
        <w:t xml:space="preserve">continued </w:t>
      </w:r>
      <w:r w:rsidRPr="00B12B0D">
        <w:rPr>
          <w:iCs/>
          <w:sz w:val="22"/>
          <w:szCs w:val="22"/>
        </w:rPr>
        <w:t>involvement in the criminal justice system.</w:t>
      </w:r>
      <w:r w:rsidRPr="00B12B0D">
        <w:rPr>
          <w:iCs/>
          <w:sz w:val="22"/>
          <w:szCs w:val="22"/>
          <w:vertAlign w:val="superscript"/>
        </w:rPr>
        <w:footnoteReference w:id="3"/>
      </w:r>
      <w:r w:rsidR="00EA1F58" w:rsidRPr="00B12B0D">
        <w:rPr>
          <w:iCs/>
          <w:sz w:val="22"/>
          <w:szCs w:val="22"/>
        </w:rPr>
        <w:t xml:space="preserve">  </w:t>
      </w:r>
    </w:p>
    <w:p w:rsidR="00E441A4" w:rsidRPr="00B12B0D" w:rsidRDefault="00E441A4" w:rsidP="000F623D">
      <w:pPr>
        <w:rPr>
          <w:iCs/>
          <w:sz w:val="22"/>
          <w:szCs w:val="22"/>
        </w:rPr>
      </w:pPr>
    </w:p>
    <w:p w:rsidR="00FF6416" w:rsidRPr="00B12B0D" w:rsidRDefault="00B601BF" w:rsidP="000F623D">
      <w:pPr>
        <w:rPr>
          <w:sz w:val="22"/>
          <w:szCs w:val="22"/>
        </w:rPr>
      </w:pPr>
      <w:r w:rsidRPr="00B12B0D">
        <w:rPr>
          <w:b/>
          <w:iCs/>
          <w:sz w:val="22"/>
          <w:szCs w:val="22"/>
        </w:rPr>
        <w:t xml:space="preserve">Youth in adult facilities are at great risk of prison rape.  </w:t>
      </w:r>
      <w:r w:rsidR="00E441A4" w:rsidRPr="00B12B0D">
        <w:rPr>
          <w:iCs/>
          <w:sz w:val="22"/>
          <w:szCs w:val="22"/>
        </w:rPr>
        <w:t xml:space="preserve">Studies from across the nation confirm that youth tried as adults fit the risk profile of those persons at the highest risk of sexual assault.  </w:t>
      </w:r>
      <w:r w:rsidR="00FF6416" w:rsidRPr="00B12B0D">
        <w:rPr>
          <w:sz w:val="22"/>
          <w:szCs w:val="22"/>
        </w:rPr>
        <w:t>According to the prison rape literature, the persons with the highest likelihood of being sexually assaulted are:</w:t>
      </w:r>
    </w:p>
    <w:p w:rsidR="00FF6416" w:rsidRPr="00B12B0D" w:rsidRDefault="00FF6416" w:rsidP="000F623D">
      <w:pPr>
        <w:rPr>
          <w:sz w:val="22"/>
          <w:szCs w:val="22"/>
        </w:rPr>
      </w:pPr>
    </w:p>
    <w:p w:rsidR="00FF6416" w:rsidRPr="00B12B0D" w:rsidRDefault="00FF6416" w:rsidP="000F623D">
      <w:pPr>
        <w:numPr>
          <w:ilvl w:val="0"/>
          <w:numId w:val="22"/>
        </w:numPr>
        <w:rPr>
          <w:sz w:val="22"/>
          <w:szCs w:val="22"/>
        </w:rPr>
      </w:pPr>
      <w:r w:rsidRPr="00B12B0D">
        <w:rPr>
          <w:sz w:val="22"/>
          <w:szCs w:val="22"/>
        </w:rPr>
        <w:t>Inmates who are young, inexperienced in prison culture, and easily intimated;</w:t>
      </w:r>
    </w:p>
    <w:p w:rsidR="00FF6416" w:rsidRPr="00B12B0D" w:rsidRDefault="00FF6416" w:rsidP="000F623D">
      <w:pPr>
        <w:numPr>
          <w:ilvl w:val="0"/>
          <w:numId w:val="22"/>
        </w:numPr>
        <w:rPr>
          <w:sz w:val="22"/>
          <w:szCs w:val="22"/>
        </w:rPr>
      </w:pPr>
      <w:r w:rsidRPr="00B12B0D">
        <w:rPr>
          <w:sz w:val="22"/>
          <w:szCs w:val="22"/>
        </w:rPr>
        <w:t>Those who are physically small or weak;</w:t>
      </w:r>
    </w:p>
    <w:p w:rsidR="00FF6416" w:rsidRPr="00B12B0D" w:rsidRDefault="00FF6416" w:rsidP="000F623D">
      <w:pPr>
        <w:numPr>
          <w:ilvl w:val="0"/>
          <w:numId w:val="22"/>
        </w:numPr>
        <w:rPr>
          <w:sz w:val="22"/>
          <w:szCs w:val="22"/>
        </w:rPr>
      </w:pPr>
      <w:r w:rsidRPr="00B12B0D">
        <w:rPr>
          <w:sz w:val="22"/>
          <w:szCs w:val="22"/>
        </w:rPr>
        <w:t>Inmates suffering from mental illness and/or developmental disabilities;</w:t>
      </w:r>
    </w:p>
    <w:p w:rsidR="00FF6416" w:rsidRPr="00B12B0D" w:rsidRDefault="00FF6416" w:rsidP="000F623D">
      <w:pPr>
        <w:numPr>
          <w:ilvl w:val="0"/>
          <w:numId w:val="22"/>
        </w:numPr>
        <w:rPr>
          <w:sz w:val="22"/>
          <w:szCs w:val="22"/>
        </w:rPr>
      </w:pPr>
      <w:r w:rsidRPr="00B12B0D">
        <w:rPr>
          <w:sz w:val="22"/>
          <w:szCs w:val="22"/>
        </w:rPr>
        <w:t>Inmates who are middle-class/not streetwise;</w:t>
      </w:r>
    </w:p>
    <w:p w:rsidR="00FF6416" w:rsidRPr="00B12B0D" w:rsidRDefault="00FF6416" w:rsidP="000F623D">
      <w:pPr>
        <w:numPr>
          <w:ilvl w:val="0"/>
          <w:numId w:val="22"/>
        </w:numPr>
        <w:rPr>
          <w:sz w:val="22"/>
          <w:szCs w:val="22"/>
        </w:rPr>
      </w:pPr>
      <w:r w:rsidRPr="00B12B0D">
        <w:rPr>
          <w:sz w:val="22"/>
          <w:szCs w:val="22"/>
        </w:rPr>
        <w:t>Offenders who are not gang affiliated;</w:t>
      </w:r>
    </w:p>
    <w:p w:rsidR="00FF6416" w:rsidRPr="00B12B0D" w:rsidRDefault="00FF6416" w:rsidP="000F623D">
      <w:pPr>
        <w:numPr>
          <w:ilvl w:val="0"/>
          <w:numId w:val="22"/>
        </w:numPr>
        <w:rPr>
          <w:sz w:val="22"/>
          <w:szCs w:val="22"/>
        </w:rPr>
      </w:pPr>
      <w:r w:rsidRPr="00B12B0D">
        <w:rPr>
          <w:sz w:val="22"/>
          <w:szCs w:val="22"/>
        </w:rPr>
        <w:t>Those who are known to be homosexual;</w:t>
      </w:r>
    </w:p>
    <w:p w:rsidR="00FF6416" w:rsidRPr="00B12B0D" w:rsidRDefault="00FF6416" w:rsidP="000F623D">
      <w:pPr>
        <w:numPr>
          <w:ilvl w:val="0"/>
          <w:numId w:val="22"/>
        </w:numPr>
        <w:rPr>
          <w:sz w:val="22"/>
          <w:szCs w:val="22"/>
        </w:rPr>
      </w:pPr>
      <w:r w:rsidRPr="00B12B0D">
        <w:rPr>
          <w:sz w:val="22"/>
          <w:szCs w:val="22"/>
        </w:rPr>
        <w:t>Those who have been previously sexually assaulted;</w:t>
      </w:r>
    </w:p>
    <w:p w:rsidR="00FF6416" w:rsidRPr="00B12B0D" w:rsidRDefault="00FF6416" w:rsidP="000F623D">
      <w:pPr>
        <w:numPr>
          <w:ilvl w:val="0"/>
          <w:numId w:val="22"/>
        </w:numPr>
        <w:rPr>
          <w:sz w:val="22"/>
          <w:szCs w:val="22"/>
        </w:rPr>
      </w:pPr>
      <w:r w:rsidRPr="00B12B0D">
        <w:rPr>
          <w:sz w:val="22"/>
          <w:szCs w:val="22"/>
        </w:rPr>
        <w:t>Inmates who are disliked by staff or other inmates;</w:t>
      </w:r>
    </w:p>
    <w:p w:rsidR="00FF6416" w:rsidRPr="00B12B0D" w:rsidRDefault="00FF6416" w:rsidP="000F623D">
      <w:pPr>
        <w:numPr>
          <w:ilvl w:val="0"/>
          <w:numId w:val="22"/>
        </w:numPr>
        <w:rPr>
          <w:sz w:val="22"/>
          <w:szCs w:val="22"/>
        </w:rPr>
      </w:pPr>
      <w:r w:rsidRPr="00B12B0D">
        <w:rPr>
          <w:sz w:val="22"/>
          <w:szCs w:val="22"/>
        </w:rPr>
        <w:t>Those who “snitch,” that is, report prohibited behavior;</w:t>
      </w:r>
    </w:p>
    <w:p w:rsidR="00FF6416" w:rsidRPr="00B12B0D" w:rsidRDefault="00FF6416" w:rsidP="000F623D">
      <w:pPr>
        <w:numPr>
          <w:ilvl w:val="0"/>
          <w:numId w:val="22"/>
        </w:numPr>
        <w:rPr>
          <w:sz w:val="22"/>
          <w:szCs w:val="22"/>
        </w:rPr>
      </w:pPr>
      <w:r w:rsidRPr="00B12B0D">
        <w:rPr>
          <w:sz w:val="22"/>
          <w:szCs w:val="22"/>
        </w:rPr>
        <w:t>First-time, non-violent offenders.</w:t>
      </w:r>
      <w:r w:rsidR="00A500B1" w:rsidRPr="00B12B0D">
        <w:rPr>
          <w:rStyle w:val="FootnoteReference"/>
          <w:sz w:val="22"/>
          <w:szCs w:val="22"/>
        </w:rPr>
        <w:footnoteReference w:id="4"/>
      </w:r>
    </w:p>
    <w:p w:rsidR="00FF6416" w:rsidRPr="00B12B0D" w:rsidRDefault="00FF6416" w:rsidP="000F623D">
      <w:pPr>
        <w:rPr>
          <w:sz w:val="22"/>
          <w:szCs w:val="22"/>
        </w:rPr>
      </w:pPr>
    </w:p>
    <w:p w:rsidR="00AB32C8" w:rsidRPr="00B12B0D" w:rsidRDefault="004A124E" w:rsidP="000F623D">
      <w:pPr>
        <w:rPr>
          <w:iCs/>
          <w:sz w:val="22"/>
          <w:szCs w:val="22"/>
        </w:rPr>
      </w:pPr>
      <w:r w:rsidRPr="00B12B0D">
        <w:rPr>
          <w:iCs/>
          <w:sz w:val="22"/>
          <w:szCs w:val="22"/>
        </w:rPr>
        <w:t>National Prison Rape Elimination Act Commissioner Brenda Smith testified before Congress that most of the youth held in adult facilities have “no prior exposure to the adult correctional environment [which] makes adult prisons very difficult for youth to navigate and puts them at an increased risk for sexual abuse.”</w:t>
      </w:r>
      <w:r w:rsidRPr="00B12B0D">
        <w:rPr>
          <w:iCs/>
          <w:sz w:val="22"/>
          <w:szCs w:val="22"/>
          <w:vertAlign w:val="superscript"/>
        </w:rPr>
        <w:footnoteReference w:id="5"/>
      </w:r>
      <w:r w:rsidRPr="00B12B0D">
        <w:rPr>
          <w:iCs/>
          <w:sz w:val="22"/>
          <w:szCs w:val="22"/>
        </w:rPr>
        <w:t xml:space="preserve"> </w:t>
      </w:r>
      <w:r w:rsidR="00E441A4" w:rsidRPr="00B12B0D">
        <w:rPr>
          <w:sz w:val="22"/>
          <w:szCs w:val="22"/>
        </w:rPr>
        <w:t>W</w:t>
      </w:r>
      <w:r w:rsidR="00464648" w:rsidRPr="00B12B0D">
        <w:rPr>
          <w:sz w:val="22"/>
          <w:szCs w:val="22"/>
        </w:rPr>
        <w:t xml:space="preserve">e know that the </w:t>
      </w:r>
      <w:r w:rsidR="00FF6416" w:rsidRPr="00B12B0D">
        <w:rPr>
          <w:bCs/>
          <w:sz w:val="22"/>
          <w:szCs w:val="22"/>
        </w:rPr>
        <w:t>overwhelming majority of youth tried as adults are</w:t>
      </w:r>
      <w:r w:rsidR="00FF6416" w:rsidRPr="00B12B0D">
        <w:rPr>
          <w:sz w:val="22"/>
          <w:szCs w:val="22"/>
        </w:rPr>
        <w:t xml:space="preserve"> nonviolent offenders</w:t>
      </w:r>
      <w:r w:rsidR="00464648" w:rsidRPr="00B12B0D">
        <w:rPr>
          <w:sz w:val="22"/>
          <w:szCs w:val="22"/>
        </w:rPr>
        <w:t xml:space="preserve">, and a considerable proportion are first-time offenders. </w:t>
      </w:r>
      <w:r w:rsidR="00FF6416" w:rsidRPr="00B12B0D">
        <w:rPr>
          <w:sz w:val="22"/>
          <w:szCs w:val="22"/>
          <w:vertAlign w:val="superscript"/>
        </w:rPr>
        <w:footnoteReference w:id="6"/>
      </w:r>
      <w:r w:rsidR="00911A00" w:rsidRPr="00B12B0D">
        <w:rPr>
          <w:sz w:val="22"/>
          <w:szCs w:val="22"/>
        </w:rPr>
        <w:t xml:space="preserve">  </w:t>
      </w:r>
      <w:r w:rsidR="000407C6" w:rsidRPr="00B12B0D">
        <w:rPr>
          <w:iCs/>
          <w:sz w:val="22"/>
          <w:szCs w:val="22"/>
        </w:rPr>
        <w:t>In more than half of the states, there is no lower age limit on who can be prosecuted as an adult</w:t>
      </w:r>
      <w:r w:rsidR="00FB322C" w:rsidRPr="00B12B0D">
        <w:rPr>
          <w:iCs/>
          <w:sz w:val="22"/>
          <w:szCs w:val="22"/>
        </w:rPr>
        <w:t xml:space="preserve">, so even young </w:t>
      </w:r>
      <w:r w:rsidR="000407C6" w:rsidRPr="00B12B0D">
        <w:rPr>
          <w:iCs/>
          <w:sz w:val="22"/>
          <w:szCs w:val="22"/>
        </w:rPr>
        <w:t>children</w:t>
      </w:r>
      <w:r w:rsidR="00FB322C" w:rsidRPr="00B12B0D">
        <w:rPr>
          <w:iCs/>
          <w:sz w:val="22"/>
          <w:szCs w:val="22"/>
        </w:rPr>
        <w:t xml:space="preserve"> </w:t>
      </w:r>
      <w:r w:rsidR="000407C6" w:rsidRPr="00B12B0D">
        <w:rPr>
          <w:iCs/>
          <w:sz w:val="22"/>
          <w:szCs w:val="22"/>
        </w:rPr>
        <w:t>can be prosecuted as adults</w:t>
      </w:r>
      <w:r w:rsidR="00FF117C" w:rsidRPr="00B12B0D">
        <w:rPr>
          <w:iCs/>
          <w:sz w:val="22"/>
          <w:szCs w:val="22"/>
        </w:rPr>
        <w:t xml:space="preserve"> </w:t>
      </w:r>
      <w:r w:rsidR="00AC227C" w:rsidRPr="00B12B0D">
        <w:rPr>
          <w:iCs/>
          <w:sz w:val="22"/>
          <w:szCs w:val="22"/>
        </w:rPr>
        <w:t xml:space="preserve">and </w:t>
      </w:r>
      <w:r w:rsidR="000407C6" w:rsidRPr="00B12B0D">
        <w:rPr>
          <w:iCs/>
          <w:sz w:val="22"/>
          <w:szCs w:val="22"/>
        </w:rPr>
        <w:t>sent to adult jails and prisons.</w:t>
      </w:r>
      <w:r w:rsidR="00FF117C" w:rsidRPr="00B12B0D">
        <w:rPr>
          <w:sz w:val="22"/>
          <w:szCs w:val="22"/>
          <w:vertAlign w:val="superscript"/>
        </w:rPr>
        <w:t xml:space="preserve"> </w:t>
      </w:r>
      <w:r w:rsidR="00FF117C" w:rsidRPr="00B12B0D">
        <w:rPr>
          <w:iCs/>
          <w:sz w:val="22"/>
          <w:szCs w:val="22"/>
          <w:vertAlign w:val="superscript"/>
        </w:rPr>
        <w:footnoteReference w:id="7"/>
      </w:r>
      <w:r w:rsidR="00FF117C" w:rsidRPr="00B12B0D">
        <w:rPr>
          <w:iCs/>
          <w:sz w:val="22"/>
          <w:szCs w:val="22"/>
        </w:rPr>
        <w:t xml:space="preserve"> </w:t>
      </w:r>
      <w:r w:rsidR="000407C6" w:rsidRPr="00B12B0D">
        <w:rPr>
          <w:iCs/>
          <w:sz w:val="22"/>
          <w:szCs w:val="22"/>
        </w:rPr>
        <w:t xml:space="preserve">  For example, only six states have age restrictions on the pre-trial detention of youth in jails.</w:t>
      </w:r>
      <w:r w:rsidR="000407C6" w:rsidRPr="00B12B0D">
        <w:rPr>
          <w:sz w:val="22"/>
          <w:szCs w:val="22"/>
          <w:vertAlign w:val="superscript"/>
        </w:rPr>
        <w:footnoteReference w:id="8"/>
      </w:r>
      <w:r w:rsidR="000407C6" w:rsidRPr="00B12B0D">
        <w:rPr>
          <w:iCs/>
          <w:sz w:val="22"/>
          <w:szCs w:val="22"/>
        </w:rPr>
        <w:t xml:space="preserve">  </w:t>
      </w:r>
      <w:r w:rsidR="00E441A4" w:rsidRPr="00B12B0D">
        <w:rPr>
          <w:iCs/>
          <w:sz w:val="22"/>
          <w:szCs w:val="22"/>
        </w:rPr>
        <w:t>I</w:t>
      </w:r>
      <w:r w:rsidR="00BD4F6B" w:rsidRPr="00B12B0D">
        <w:rPr>
          <w:iCs/>
          <w:sz w:val="22"/>
          <w:szCs w:val="22"/>
        </w:rPr>
        <w:t xml:space="preserve">n addition to </w:t>
      </w:r>
      <w:r w:rsidR="00413C56" w:rsidRPr="00B12B0D">
        <w:rPr>
          <w:iCs/>
          <w:sz w:val="22"/>
          <w:szCs w:val="22"/>
        </w:rPr>
        <w:t>age</w:t>
      </w:r>
      <w:r w:rsidR="00FD36B7" w:rsidRPr="00B12B0D">
        <w:rPr>
          <w:iCs/>
          <w:sz w:val="22"/>
          <w:szCs w:val="22"/>
        </w:rPr>
        <w:t xml:space="preserve"> and</w:t>
      </w:r>
      <w:r w:rsidR="00413C56" w:rsidRPr="00B12B0D">
        <w:rPr>
          <w:iCs/>
          <w:sz w:val="22"/>
          <w:szCs w:val="22"/>
        </w:rPr>
        <w:t xml:space="preserve"> offense, we know that </w:t>
      </w:r>
      <w:r w:rsidR="000437D8" w:rsidRPr="00B12B0D">
        <w:rPr>
          <w:iCs/>
          <w:sz w:val="22"/>
          <w:szCs w:val="22"/>
        </w:rPr>
        <w:t xml:space="preserve">other </w:t>
      </w:r>
      <w:r w:rsidR="00AB32C8" w:rsidRPr="00B12B0D">
        <w:rPr>
          <w:iCs/>
          <w:sz w:val="22"/>
          <w:szCs w:val="22"/>
        </w:rPr>
        <w:t>characteristics of youth further raise</w:t>
      </w:r>
      <w:r w:rsidR="000437D8" w:rsidRPr="00B12B0D">
        <w:rPr>
          <w:iCs/>
          <w:sz w:val="22"/>
          <w:szCs w:val="22"/>
        </w:rPr>
        <w:t xml:space="preserve"> </w:t>
      </w:r>
      <w:r w:rsidR="000437D8" w:rsidRPr="00B12B0D">
        <w:rPr>
          <w:iCs/>
          <w:sz w:val="22"/>
          <w:szCs w:val="22"/>
        </w:rPr>
        <w:lastRenderedPageBreak/>
        <w:t xml:space="preserve">their risk levels.  </w:t>
      </w:r>
      <w:r w:rsidR="00AC227C" w:rsidRPr="00B12B0D">
        <w:rPr>
          <w:iCs/>
          <w:sz w:val="22"/>
          <w:szCs w:val="22"/>
        </w:rPr>
        <w:t>Y</w:t>
      </w:r>
      <w:r w:rsidR="0099300C" w:rsidRPr="00B12B0D">
        <w:rPr>
          <w:iCs/>
          <w:sz w:val="22"/>
          <w:szCs w:val="22"/>
        </w:rPr>
        <w:t>outh</w:t>
      </w:r>
      <w:r w:rsidR="00AC227C" w:rsidRPr="00B12B0D">
        <w:rPr>
          <w:iCs/>
          <w:sz w:val="22"/>
          <w:szCs w:val="22"/>
        </w:rPr>
        <w:t xml:space="preserve"> in adult facilities</w:t>
      </w:r>
      <w:r w:rsidR="0099300C" w:rsidRPr="00B12B0D">
        <w:rPr>
          <w:iCs/>
          <w:sz w:val="22"/>
          <w:szCs w:val="22"/>
        </w:rPr>
        <w:t xml:space="preserve"> have even more significant mental </w:t>
      </w:r>
      <w:r w:rsidR="00675EF5">
        <w:rPr>
          <w:iCs/>
          <w:sz w:val="22"/>
          <w:szCs w:val="22"/>
        </w:rPr>
        <w:t xml:space="preserve">health </w:t>
      </w:r>
      <w:r w:rsidR="0099300C" w:rsidRPr="00B12B0D">
        <w:rPr>
          <w:iCs/>
          <w:sz w:val="22"/>
          <w:szCs w:val="22"/>
        </w:rPr>
        <w:t>needs than youth held in juvenile facilities</w:t>
      </w:r>
      <w:r w:rsidR="00AC227C" w:rsidRPr="00B12B0D">
        <w:rPr>
          <w:iCs/>
          <w:sz w:val="22"/>
          <w:szCs w:val="22"/>
        </w:rPr>
        <w:t>.</w:t>
      </w:r>
      <w:r w:rsidR="0099300C" w:rsidRPr="00B12B0D">
        <w:rPr>
          <w:iCs/>
          <w:sz w:val="22"/>
          <w:szCs w:val="22"/>
          <w:vertAlign w:val="superscript"/>
        </w:rPr>
        <w:footnoteReference w:id="9"/>
      </w:r>
      <w:r w:rsidR="0099300C" w:rsidRPr="00B12B0D">
        <w:rPr>
          <w:iCs/>
          <w:sz w:val="22"/>
          <w:szCs w:val="22"/>
        </w:rPr>
        <w:t xml:space="preserve"> </w:t>
      </w:r>
      <w:r w:rsidR="00AB32C8" w:rsidRPr="00B12B0D">
        <w:rPr>
          <w:iCs/>
          <w:sz w:val="22"/>
          <w:szCs w:val="22"/>
        </w:rPr>
        <w:t>Y</w:t>
      </w:r>
      <w:r w:rsidR="00E32511" w:rsidRPr="00B12B0D">
        <w:rPr>
          <w:iCs/>
          <w:sz w:val="22"/>
          <w:szCs w:val="22"/>
        </w:rPr>
        <w:t xml:space="preserve">outh are </w:t>
      </w:r>
      <w:r w:rsidR="00AB32C8" w:rsidRPr="00B12B0D">
        <w:rPr>
          <w:iCs/>
          <w:sz w:val="22"/>
          <w:szCs w:val="22"/>
        </w:rPr>
        <w:t xml:space="preserve">also </w:t>
      </w:r>
      <w:r w:rsidR="00E32511" w:rsidRPr="00B12B0D">
        <w:rPr>
          <w:iCs/>
          <w:sz w:val="22"/>
          <w:szCs w:val="22"/>
        </w:rPr>
        <w:t xml:space="preserve">likely to have had significant histories of prior </w:t>
      </w:r>
      <w:r w:rsidR="005542A5" w:rsidRPr="00B12B0D">
        <w:rPr>
          <w:iCs/>
          <w:sz w:val="22"/>
          <w:szCs w:val="22"/>
        </w:rPr>
        <w:t>sexual assault</w:t>
      </w:r>
      <w:r w:rsidR="00384485" w:rsidRPr="00B12B0D">
        <w:rPr>
          <w:iCs/>
          <w:sz w:val="22"/>
          <w:szCs w:val="22"/>
        </w:rPr>
        <w:t>, particularly</w:t>
      </w:r>
      <w:r w:rsidR="001C5131" w:rsidRPr="00B12B0D">
        <w:rPr>
          <w:iCs/>
          <w:sz w:val="22"/>
          <w:szCs w:val="22"/>
        </w:rPr>
        <w:t xml:space="preserve"> the</w:t>
      </w:r>
      <w:r w:rsidR="00384485" w:rsidRPr="00B12B0D">
        <w:rPr>
          <w:iCs/>
          <w:sz w:val="22"/>
          <w:szCs w:val="22"/>
        </w:rPr>
        <w:t xml:space="preserve"> girls</w:t>
      </w:r>
      <w:r w:rsidR="00E32511" w:rsidRPr="00B12B0D">
        <w:rPr>
          <w:iCs/>
          <w:sz w:val="22"/>
          <w:szCs w:val="22"/>
        </w:rPr>
        <w:t>.</w:t>
      </w:r>
      <w:r w:rsidR="004E158F" w:rsidRPr="00B12B0D">
        <w:rPr>
          <w:rStyle w:val="FootnoteReference"/>
          <w:iCs/>
          <w:sz w:val="22"/>
          <w:szCs w:val="22"/>
        </w:rPr>
        <w:footnoteReference w:id="10"/>
      </w:r>
      <w:r w:rsidR="00E32511" w:rsidRPr="00B12B0D">
        <w:rPr>
          <w:iCs/>
          <w:sz w:val="22"/>
          <w:szCs w:val="22"/>
        </w:rPr>
        <w:t xml:space="preserve">  </w:t>
      </w:r>
      <w:r w:rsidR="00AB32C8" w:rsidRPr="00B12B0D">
        <w:rPr>
          <w:iCs/>
          <w:sz w:val="22"/>
          <w:szCs w:val="22"/>
        </w:rPr>
        <w:t>M</w:t>
      </w:r>
      <w:r w:rsidR="002540A2" w:rsidRPr="00B12B0D">
        <w:rPr>
          <w:iCs/>
          <w:sz w:val="22"/>
          <w:szCs w:val="22"/>
        </w:rPr>
        <w:t xml:space="preserve">any </w:t>
      </w:r>
      <w:r w:rsidR="00AB32C8" w:rsidRPr="00B12B0D">
        <w:rPr>
          <w:iCs/>
          <w:sz w:val="22"/>
          <w:szCs w:val="22"/>
        </w:rPr>
        <w:t xml:space="preserve">lesbian, gay, </w:t>
      </w:r>
      <w:r w:rsidR="00E3051A">
        <w:rPr>
          <w:iCs/>
          <w:sz w:val="22"/>
          <w:szCs w:val="22"/>
        </w:rPr>
        <w:t xml:space="preserve">and </w:t>
      </w:r>
      <w:r w:rsidR="00AB32C8" w:rsidRPr="00B12B0D">
        <w:rPr>
          <w:iCs/>
          <w:sz w:val="22"/>
          <w:szCs w:val="22"/>
        </w:rPr>
        <w:t>bisexual</w:t>
      </w:r>
      <w:r w:rsidR="002540A2" w:rsidRPr="00B12B0D">
        <w:rPr>
          <w:iCs/>
          <w:sz w:val="22"/>
          <w:szCs w:val="22"/>
        </w:rPr>
        <w:t xml:space="preserve"> youth are held in adult facilities</w:t>
      </w:r>
      <w:r w:rsidR="00D533D7" w:rsidRPr="00B12B0D">
        <w:rPr>
          <w:iCs/>
          <w:sz w:val="22"/>
          <w:szCs w:val="22"/>
        </w:rPr>
        <w:t xml:space="preserve"> as well.</w:t>
      </w:r>
      <w:r w:rsidR="00D533D7" w:rsidRPr="00B12B0D">
        <w:rPr>
          <w:iCs/>
          <w:sz w:val="22"/>
          <w:szCs w:val="22"/>
          <w:vertAlign w:val="superscript"/>
        </w:rPr>
        <w:footnoteReference w:id="11"/>
      </w:r>
      <w:r w:rsidR="001E76B0" w:rsidRPr="00B12B0D">
        <w:rPr>
          <w:iCs/>
          <w:sz w:val="22"/>
          <w:szCs w:val="22"/>
        </w:rPr>
        <w:t xml:space="preserve"> </w:t>
      </w:r>
      <w:r w:rsidR="00AB32C8" w:rsidRPr="00B12B0D">
        <w:rPr>
          <w:iCs/>
          <w:sz w:val="22"/>
          <w:szCs w:val="22"/>
        </w:rPr>
        <w:t xml:space="preserve">All of these factors make youth more likely to be victimized.  </w:t>
      </w:r>
    </w:p>
    <w:p w:rsidR="002540A2" w:rsidRPr="00B12B0D" w:rsidRDefault="002540A2" w:rsidP="000F623D">
      <w:pPr>
        <w:rPr>
          <w:iCs/>
          <w:sz w:val="22"/>
          <w:szCs w:val="22"/>
        </w:rPr>
      </w:pPr>
    </w:p>
    <w:p w:rsidR="00FF6416" w:rsidRPr="00B12B0D" w:rsidRDefault="00462095" w:rsidP="000F623D">
      <w:pPr>
        <w:rPr>
          <w:sz w:val="22"/>
          <w:szCs w:val="22"/>
        </w:rPr>
      </w:pPr>
      <w:r w:rsidRPr="00B12B0D">
        <w:rPr>
          <w:sz w:val="22"/>
          <w:szCs w:val="22"/>
        </w:rPr>
        <w:t xml:space="preserve">PREA-funded studies </w:t>
      </w:r>
      <w:r w:rsidR="0086075A" w:rsidRPr="00B12B0D">
        <w:rPr>
          <w:sz w:val="22"/>
          <w:szCs w:val="22"/>
        </w:rPr>
        <w:t>confirm th</w:t>
      </w:r>
      <w:r w:rsidR="00754A48" w:rsidRPr="00B12B0D">
        <w:rPr>
          <w:sz w:val="22"/>
          <w:szCs w:val="22"/>
        </w:rPr>
        <w:t xml:space="preserve">e high rates of sexual violence against youth in adult facilities.  </w:t>
      </w:r>
      <w:r w:rsidR="0086075A" w:rsidRPr="00B12B0D">
        <w:rPr>
          <w:sz w:val="22"/>
          <w:szCs w:val="22"/>
        </w:rPr>
        <w:t>BJS s</w:t>
      </w:r>
      <w:r w:rsidR="00FF6416" w:rsidRPr="00B12B0D">
        <w:rPr>
          <w:sz w:val="22"/>
          <w:szCs w:val="22"/>
        </w:rPr>
        <w:t>tudies conducted in 2005 and 2006</w:t>
      </w:r>
      <w:r w:rsidRPr="00B12B0D">
        <w:rPr>
          <w:sz w:val="22"/>
          <w:szCs w:val="22"/>
        </w:rPr>
        <w:t xml:space="preserve"> found that </w:t>
      </w:r>
      <w:r w:rsidR="00FF6416" w:rsidRPr="00B12B0D">
        <w:rPr>
          <w:sz w:val="22"/>
          <w:szCs w:val="22"/>
        </w:rPr>
        <w:t xml:space="preserve">21% and 13% respectively, of the victims of </w:t>
      </w:r>
      <w:r w:rsidR="00935327">
        <w:rPr>
          <w:sz w:val="22"/>
          <w:szCs w:val="22"/>
        </w:rPr>
        <w:t xml:space="preserve">substantiated </w:t>
      </w:r>
      <w:r w:rsidR="00FF6416" w:rsidRPr="00B12B0D">
        <w:rPr>
          <w:sz w:val="22"/>
          <w:szCs w:val="22"/>
        </w:rPr>
        <w:t>inmate-on-inmate sexual violence in jails were youth under the age of 18</w:t>
      </w:r>
      <w:r w:rsidR="00FF6416" w:rsidRPr="00B12B0D">
        <w:rPr>
          <w:sz w:val="22"/>
          <w:szCs w:val="22"/>
          <w:vertAlign w:val="superscript"/>
        </w:rPr>
        <w:footnoteReference w:id="12"/>
      </w:r>
      <w:r w:rsidR="00FF6416" w:rsidRPr="00B12B0D">
        <w:rPr>
          <w:sz w:val="22"/>
          <w:szCs w:val="22"/>
        </w:rPr>
        <w:t xml:space="preserve"> – a surprisingly high percentage of victims considering that only 1% of all jail inmates are youth under 18.</w:t>
      </w:r>
      <w:r w:rsidR="00FF6416" w:rsidRPr="00B12B0D">
        <w:rPr>
          <w:sz w:val="22"/>
          <w:szCs w:val="22"/>
          <w:vertAlign w:val="superscript"/>
        </w:rPr>
        <w:footnoteReference w:id="13"/>
      </w:r>
      <w:r w:rsidR="00FF6416" w:rsidRPr="00B12B0D">
        <w:rPr>
          <w:sz w:val="22"/>
          <w:szCs w:val="22"/>
        </w:rPr>
        <w:t xml:space="preserve"> Unfortunately, BJS studies conducted since that time have not disaggregated youth victimization in adult facilities</w:t>
      </w:r>
      <w:r w:rsidR="00713F8C" w:rsidRPr="00B12B0D">
        <w:rPr>
          <w:sz w:val="22"/>
          <w:szCs w:val="22"/>
        </w:rPr>
        <w:t xml:space="preserve"> </w:t>
      </w:r>
      <w:r w:rsidR="00623F9E" w:rsidRPr="00B12B0D">
        <w:rPr>
          <w:sz w:val="22"/>
          <w:szCs w:val="22"/>
        </w:rPr>
        <w:t>but have grouped</w:t>
      </w:r>
      <w:r w:rsidR="00713F8C" w:rsidRPr="00B12B0D">
        <w:rPr>
          <w:sz w:val="22"/>
          <w:szCs w:val="22"/>
        </w:rPr>
        <w:t xml:space="preserve"> all persons under the age of 25 together.</w:t>
      </w:r>
      <w:r w:rsidR="006D7F7D" w:rsidRPr="00B12B0D">
        <w:rPr>
          <w:rStyle w:val="FootnoteReference"/>
          <w:sz w:val="22"/>
          <w:szCs w:val="22"/>
        </w:rPr>
        <w:footnoteReference w:id="14"/>
      </w:r>
      <w:r w:rsidR="00713F8C" w:rsidRPr="00B12B0D">
        <w:rPr>
          <w:sz w:val="22"/>
          <w:szCs w:val="22"/>
        </w:rPr>
        <w:t xml:space="preserve"> </w:t>
      </w:r>
      <w:r w:rsidR="00FF6416" w:rsidRPr="00B12B0D">
        <w:rPr>
          <w:sz w:val="22"/>
          <w:szCs w:val="22"/>
        </w:rPr>
        <w:t xml:space="preserve">This is a critical gap in our understanding of the risks to youth that the Department should rectify immediately.  </w:t>
      </w:r>
    </w:p>
    <w:p w:rsidR="00FF6416" w:rsidRPr="00B12B0D" w:rsidRDefault="00FF6416" w:rsidP="000F623D">
      <w:pPr>
        <w:rPr>
          <w:sz w:val="22"/>
          <w:szCs w:val="22"/>
        </w:rPr>
      </w:pPr>
    </w:p>
    <w:p w:rsidR="00290ED4" w:rsidRPr="00B12B0D" w:rsidRDefault="00101F00" w:rsidP="000F623D">
      <w:pPr>
        <w:rPr>
          <w:sz w:val="22"/>
          <w:szCs w:val="22"/>
        </w:rPr>
      </w:pPr>
      <w:r w:rsidRPr="00B12B0D">
        <w:rPr>
          <w:sz w:val="22"/>
          <w:szCs w:val="22"/>
        </w:rPr>
        <w:t xml:space="preserve">In light of this evidence, </w:t>
      </w:r>
      <w:r w:rsidR="00FF6416" w:rsidRPr="00B12B0D">
        <w:rPr>
          <w:sz w:val="22"/>
          <w:szCs w:val="22"/>
        </w:rPr>
        <w:t xml:space="preserve">the </w:t>
      </w:r>
      <w:r w:rsidR="00EC1FF8" w:rsidRPr="00B12B0D">
        <w:rPr>
          <w:sz w:val="22"/>
          <w:szCs w:val="22"/>
        </w:rPr>
        <w:t xml:space="preserve">National Prison Rape Elimination Act </w:t>
      </w:r>
      <w:r w:rsidR="00FF6416" w:rsidRPr="00B12B0D">
        <w:rPr>
          <w:sz w:val="22"/>
          <w:szCs w:val="22"/>
        </w:rPr>
        <w:t>Commission concluded that</w:t>
      </w:r>
      <w:r w:rsidRPr="00B12B0D">
        <w:rPr>
          <w:sz w:val="22"/>
          <w:szCs w:val="22"/>
        </w:rPr>
        <w:t xml:space="preserve"> “m</w:t>
      </w:r>
      <w:r w:rsidR="00FF6416" w:rsidRPr="00B12B0D">
        <w:rPr>
          <w:sz w:val="22"/>
          <w:szCs w:val="22"/>
        </w:rPr>
        <w:t>ore than any other group of incarcerated persons, youth incar</w:t>
      </w:r>
      <w:r w:rsidR="00FF6416" w:rsidRPr="00B12B0D">
        <w:rPr>
          <w:sz w:val="22"/>
          <w:szCs w:val="22"/>
        </w:rPr>
        <w:softHyphen/>
        <w:t>cerated with adults are probably at the highest risk for sexual abuse</w:t>
      </w:r>
      <w:r w:rsidRPr="00B12B0D">
        <w:rPr>
          <w:sz w:val="22"/>
          <w:szCs w:val="22"/>
        </w:rPr>
        <w:t>” and recommended that “</w:t>
      </w:r>
      <w:r w:rsidR="00EB257F" w:rsidRPr="00B12B0D">
        <w:rPr>
          <w:sz w:val="22"/>
          <w:szCs w:val="22"/>
        </w:rPr>
        <w:t>individuals under the age of 18 be held separately from the general population.</w:t>
      </w:r>
      <w:r w:rsidRPr="00B12B0D">
        <w:rPr>
          <w:sz w:val="22"/>
          <w:szCs w:val="22"/>
        </w:rPr>
        <w:t>”</w:t>
      </w:r>
      <w:r w:rsidR="00FF6416" w:rsidRPr="00B12B0D">
        <w:rPr>
          <w:sz w:val="22"/>
          <w:szCs w:val="22"/>
          <w:vertAlign w:val="superscript"/>
        </w:rPr>
        <w:footnoteReference w:id="15"/>
      </w:r>
      <w:r w:rsidR="00FF6416" w:rsidRPr="00B12B0D">
        <w:rPr>
          <w:sz w:val="22"/>
          <w:szCs w:val="22"/>
        </w:rPr>
        <w:t xml:space="preserve"> </w:t>
      </w:r>
      <w:r w:rsidR="00B21C86" w:rsidRPr="00B12B0D">
        <w:rPr>
          <w:sz w:val="22"/>
          <w:szCs w:val="22"/>
        </w:rPr>
        <w:t xml:space="preserve"> </w:t>
      </w:r>
      <w:r w:rsidR="00613C48" w:rsidRPr="00B12B0D">
        <w:rPr>
          <w:sz w:val="22"/>
          <w:szCs w:val="22"/>
        </w:rPr>
        <w:t xml:space="preserve">Although the Commission was right to recommend keeping youth separate from other adult inmates, the Commission overlooked the danger caused when youth are held in isolation conditions, a common </w:t>
      </w:r>
      <w:r w:rsidR="00E450A5" w:rsidRPr="00B12B0D">
        <w:rPr>
          <w:sz w:val="22"/>
          <w:szCs w:val="22"/>
        </w:rPr>
        <w:t xml:space="preserve">side-effect of </w:t>
      </w:r>
      <w:r w:rsidR="00AE57A0" w:rsidRPr="00B12B0D">
        <w:rPr>
          <w:sz w:val="22"/>
          <w:szCs w:val="22"/>
        </w:rPr>
        <w:t xml:space="preserve">efforts </w:t>
      </w:r>
      <w:r w:rsidR="00E450A5" w:rsidRPr="00B12B0D">
        <w:rPr>
          <w:sz w:val="22"/>
          <w:szCs w:val="22"/>
        </w:rPr>
        <w:t xml:space="preserve">to keep youth safe from sexual assault.  </w:t>
      </w:r>
    </w:p>
    <w:p w:rsidR="00AA086A" w:rsidRPr="00B12B0D" w:rsidRDefault="00AA086A" w:rsidP="000F623D">
      <w:pPr>
        <w:rPr>
          <w:sz w:val="22"/>
          <w:szCs w:val="22"/>
        </w:rPr>
      </w:pPr>
    </w:p>
    <w:p w:rsidR="009178E9" w:rsidRPr="00B12B0D" w:rsidRDefault="00FF6416" w:rsidP="000F623D">
      <w:pPr>
        <w:rPr>
          <w:sz w:val="22"/>
          <w:szCs w:val="22"/>
        </w:rPr>
      </w:pPr>
      <w:r w:rsidRPr="00B12B0D">
        <w:rPr>
          <w:b/>
          <w:sz w:val="22"/>
          <w:szCs w:val="22"/>
        </w:rPr>
        <w:t>Isolation has devastating consequences for youth</w:t>
      </w:r>
      <w:r w:rsidR="00AA086A" w:rsidRPr="00B12B0D">
        <w:rPr>
          <w:b/>
          <w:sz w:val="22"/>
          <w:szCs w:val="22"/>
        </w:rPr>
        <w:t>.</w:t>
      </w:r>
      <w:r w:rsidR="00AA086A" w:rsidRPr="00B12B0D">
        <w:rPr>
          <w:sz w:val="22"/>
          <w:szCs w:val="22"/>
        </w:rPr>
        <w:t xml:space="preserve">  Isolation</w:t>
      </w:r>
      <w:r w:rsidRPr="00B12B0D">
        <w:rPr>
          <w:sz w:val="22"/>
          <w:szCs w:val="22"/>
        </w:rPr>
        <w:t xml:space="preserve"> conditions can cause anxiety, paranoia, and exacerbate existing mental disorders and put youth at risk of suicide.</w:t>
      </w:r>
      <w:r w:rsidR="00C56E9F" w:rsidRPr="00B12B0D">
        <w:rPr>
          <w:sz w:val="22"/>
          <w:szCs w:val="22"/>
          <w:vertAlign w:val="superscript"/>
        </w:rPr>
        <w:t xml:space="preserve"> </w:t>
      </w:r>
      <w:r w:rsidR="00C56E9F" w:rsidRPr="00B12B0D">
        <w:rPr>
          <w:sz w:val="22"/>
          <w:szCs w:val="22"/>
          <w:vertAlign w:val="superscript"/>
        </w:rPr>
        <w:footnoteReference w:id="16"/>
      </w:r>
      <w:r w:rsidRPr="00B12B0D">
        <w:rPr>
          <w:sz w:val="22"/>
          <w:szCs w:val="22"/>
        </w:rPr>
        <w:t xml:space="preserve"> </w:t>
      </w:r>
      <w:r w:rsidR="00C36859" w:rsidRPr="00B12B0D">
        <w:rPr>
          <w:sz w:val="22"/>
          <w:szCs w:val="22"/>
        </w:rPr>
        <w:t>In fact,</w:t>
      </w:r>
      <w:r w:rsidR="00A359B0" w:rsidRPr="00B12B0D">
        <w:rPr>
          <w:sz w:val="22"/>
          <w:szCs w:val="22"/>
        </w:rPr>
        <w:t xml:space="preserve"> youth are 36 times more likely to commit suicide in an adult jail than in a juvenile detention facility.</w:t>
      </w:r>
      <w:r w:rsidR="00A359B0" w:rsidRPr="00B12B0D">
        <w:rPr>
          <w:sz w:val="22"/>
          <w:szCs w:val="22"/>
          <w:vertAlign w:val="superscript"/>
        </w:rPr>
        <w:footnoteReference w:id="17"/>
      </w:r>
      <w:r w:rsidR="00A359B0" w:rsidRPr="00B12B0D">
        <w:rPr>
          <w:sz w:val="22"/>
          <w:szCs w:val="22"/>
        </w:rPr>
        <w:t xml:space="preserve">  </w:t>
      </w:r>
      <w:r w:rsidR="009178E9" w:rsidRPr="00B12B0D">
        <w:rPr>
          <w:sz w:val="22"/>
          <w:szCs w:val="22"/>
        </w:rPr>
        <w:t>According to University of California–Santa Cruz psychology professor Craig Haney, the effects of isolation are pr</w:t>
      </w:r>
      <w:r w:rsidR="004E02C0">
        <w:rPr>
          <w:sz w:val="22"/>
          <w:szCs w:val="22"/>
        </w:rPr>
        <w:t>ofound and disabling for youth:</w:t>
      </w:r>
    </w:p>
    <w:p w:rsidR="009178E9" w:rsidRPr="00B12B0D" w:rsidRDefault="009178E9" w:rsidP="000F623D">
      <w:pPr>
        <w:ind w:left="720"/>
        <w:rPr>
          <w:sz w:val="22"/>
          <w:szCs w:val="22"/>
        </w:rPr>
      </w:pPr>
      <w:r w:rsidRPr="00B12B0D">
        <w:rPr>
          <w:sz w:val="22"/>
          <w:szCs w:val="22"/>
        </w:rPr>
        <w:lastRenderedPageBreak/>
        <w:t>The political stereotype is that a fourteen- or sixteen-year-old who commits an adult crime must be as sophisticated as an adult when paradoxically these kids are most often younger than their age emotionally.  Regardless of what they have done, they are in an uncertain, unformed state of social identity. These are kids who are the least appropriate to place in solitary confinement. Not only are you putting them in a situation where they have nothing to rely on but their own, underdeveloped internal mechanisms, but you are making it impossible for them to develop a healthy functioning adult social identity. You're basically taking someone who’s in the process of finding out who they are and twisting their psyche in a way that will make it very, very difficult for them to ever recover.</w:t>
      </w:r>
      <w:r w:rsidRPr="00B12B0D">
        <w:rPr>
          <w:sz w:val="22"/>
          <w:szCs w:val="22"/>
          <w:vertAlign w:val="superscript"/>
        </w:rPr>
        <w:footnoteReference w:id="18"/>
      </w:r>
      <w:r w:rsidRPr="00B12B0D">
        <w:rPr>
          <w:sz w:val="22"/>
          <w:szCs w:val="22"/>
        </w:rPr>
        <w:t xml:space="preserve"> </w:t>
      </w:r>
    </w:p>
    <w:p w:rsidR="00FB542F" w:rsidRPr="00B12B0D" w:rsidRDefault="00FB542F" w:rsidP="000F623D">
      <w:pPr>
        <w:rPr>
          <w:sz w:val="22"/>
          <w:szCs w:val="22"/>
        </w:rPr>
      </w:pPr>
    </w:p>
    <w:p w:rsidR="00FF6416" w:rsidRPr="00B12B0D" w:rsidRDefault="00FF6416" w:rsidP="000F623D">
      <w:pPr>
        <w:rPr>
          <w:sz w:val="22"/>
          <w:szCs w:val="22"/>
        </w:rPr>
      </w:pPr>
      <w:r w:rsidRPr="00B12B0D">
        <w:rPr>
          <w:sz w:val="22"/>
          <w:szCs w:val="22"/>
        </w:rPr>
        <w:t>Correctional staff understand this dilemma.  Sherriff Gabriel Morgan, of Newport News, VA, testified before Congress that:</w:t>
      </w:r>
    </w:p>
    <w:p w:rsidR="00FF6416" w:rsidRPr="00B12B0D" w:rsidRDefault="00FF6416" w:rsidP="000F623D">
      <w:pPr>
        <w:rPr>
          <w:sz w:val="22"/>
          <w:szCs w:val="22"/>
        </w:rPr>
      </w:pPr>
    </w:p>
    <w:p w:rsidR="00FF6416" w:rsidRPr="00B12B0D" w:rsidRDefault="00FF6416" w:rsidP="000F623D">
      <w:pPr>
        <w:ind w:left="720"/>
        <w:rPr>
          <w:sz w:val="22"/>
          <w:szCs w:val="22"/>
        </w:rPr>
      </w:pPr>
      <w:r w:rsidRPr="00B12B0D">
        <w:rPr>
          <w:sz w:val="22"/>
          <w:szCs w:val="22"/>
        </w:rPr>
        <w:t>[O]ur ability to effectively manage the juvenile safety is tenuous at best.  Most of the time, we are forced to put them in protective custody or some sort of administrative segregation for their own protection.  This amounts to additional punishment inasmuch as juveniles are in isolation cells for the majority of the day.  These findings and many cited in my written submission begs the question, is this a violation of the Eighth Amendment of our Constitution?  Further, as a civilized body, are we guaranteeing the provisions of the 14</w:t>
      </w:r>
      <w:r w:rsidRPr="00B12B0D">
        <w:rPr>
          <w:sz w:val="22"/>
          <w:szCs w:val="22"/>
          <w:vertAlign w:val="superscript"/>
        </w:rPr>
        <w:t>th</w:t>
      </w:r>
      <w:r w:rsidRPr="00B12B0D">
        <w:rPr>
          <w:sz w:val="22"/>
          <w:szCs w:val="22"/>
        </w:rPr>
        <w:t xml:space="preserve"> Amendment due process and equal protection clause?</w:t>
      </w:r>
    </w:p>
    <w:p w:rsidR="00FF6416" w:rsidRPr="00B12B0D" w:rsidRDefault="00FF6416" w:rsidP="000F623D">
      <w:pPr>
        <w:rPr>
          <w:sz w:val="22"/>
          <w:szCs w:val="22"/>
        </w:rPr>
      </w:pPr>
    </w:p>
    <w:p w:rsidR="009B5E52" w:rsidRPr="00B12B0D" w:rsidRDefault="00A510DB" w:rsidP="000F623D">
      <w:pPr>
        <w:rPr>
          <w:sz w:val="22"/>
          <w:szCs w:val="22"/>
        </w:rPr>
      </w:pPr>
      <w:r w:rsidRPr="00B12B0D">
        <w:rPr>
          <w:b/>
          <w:sz w:val="22"/>
          <w:szCs w:val="22"/>
        </w:rPr>
        <w:t xml:space="preserve">The draft regulations </w:t>
      </w:r>
      <w:r w:rsidR="005230BF" w:rsidRPr="00B12B0D">
        <w:rPr>
          <w:b/>
          <w:sz w:val="22"/>
          <w:szCs w:val="22"/>
        </w:rPr>
        <w:t>are inadequate to</w:t>
      </w:r>
      <w:r w:rsidRPr="00B12B0D">
        <w:rPr>
          <w:b/>
          <w:sz w:val="22"/>
          <w:szCs w:val="22"/>
        </w:rPr>
        <w:t xml:space="preserve"> protect youth</w:t>
      </w:r>
      <w:r w:rsidR="005230BF" w:rsidRPr="00B12B0D">
        <w:rPr>
          <w:b/>
          <w:sz w:val="22"/>
          <w:szCs w:val="22"/>
        </w:rPr>
        <w:t xml:space="preserve">.  </w:t>
      </w:r>
      <w:r w:rsidR="00631733" w:rsidRPr="00B12B0D">
        <w:rPr>
          <w:sz w:val="22"/>
          <w:szCs w:val="22"/>
        </w:rPr>
        <w:t xml:space="preserve">Under the Departments proposed adult standards an adult facility </w:t>
      </w:r>
      <w:r w:rsidR="00ED13AA" w:rsidRPr="00B12B0D">
        <w:rPr>
          <w:sz w:val="22"/>
          <w:szCs w:val="22"/>
        </w:rPr>
        <w:t>will identify youth as vulnerable and make an individualized determination of how to ensure the</w:t>
      </w:r>
      <w:r w:rsidR="00526351" w:rsidRPr="00B12B0D">
        <w:rPr>
          <w:sz w:val="22"/>
          <w:szCs w:val="22"/>
        </w:rPr>
        <w:t>ir</w:t>
      </w:r>
      <w:r w:rsidR="00ED13AA" w:rsidRPr="00B12B0D">
        <w:rPr>
          <w:sz w:val="22"/>
          <w:szCs w:val="22"/>
        </w:rPr>
        <w:t xml:space="preserve"> safety (§115.41). In many facilities, youth will be placed in protective custody to keep </w:t>
      </w:r>
      <w:r w:rsidR="00A67D1A">
        <w:rPr>
          <w:sz w:val="22"/>
          <w:szCs w:val="22"/>
        </w:rPr>
        <w:t>them</w:t>
      </w:r>
      <w:r w:rsidR="00ED13AA" w:rsidRPr="00B12B0D">
        <w:rPr>
          <w:sz w:val="22"/>
          <w:szCs w:val="22"/>
        </w:rPr>
        <w:t xml:space="preserve"> safe</w:t>
      </w:r>
      <w:r w:rsidR="00526351" w:rsidRPr="00B12B0D">
        <w:rPr>
          <w:sz w:val="22"/>
          <w:szCs w:val="22"/>
        </w:rPr>
        <w:t xml:space="preserve">. </w:t>
      </w:r>
      <w:r w:rsidR="00ED13AA" w:rsidRPr="00B12B0D">
        <w:rPr>
          <w:sz w:val="22"/>
          <w:szCs w:val="22"/>
        </w:rPr>
        <w:t xml:space="preserve"> Although the draft adult regulations recognize that protective custody is a punitive condition that is both unfair and harmful to vulnerable inmates </w:t>
      </w:r>
      <w:r w:rsidR="00526351" w:rsidRPr="00B12B0D">
        <w:rPr>
          <w:sz w:val="22"/>
          <w:szCs w:val="22"/>
        </w:rPr>
        <w:t xml:space="preserve">(§115.43), </w:t>
      </w:r>
      <w:r w:rsidR="00ED13AA" w:rsidRPr="00B12B0D">
        <w:rPr>
          <w:sz w:val="22"/>
          <w:szCs w:val="22"/>
        </w:rPr>
        <w:t xml:space="preserve">from a practical standpoint adult facilities will have no alternatives but to keep youth in isolation indefinitely. </w:t>
      </w:r>
      <w:r w:rsidR="00D47C37" w:rsidRPr="00B12B0D">
        <w:rPr>
          <w:sz w:val="22"/>
          <w:szCs w:val="22"/>
        </w:rPr>
        <w:t xml:space="preserve">A similar problem occurs if one applies the current juvenile standards to youth held in adult facilities.  </w:t>
      </w:r>
      <w:r w:rsidR="00ED13AA" w:rsidRPr="00B12B0D">
        <w:rPr>
          <w:sz w:val="22"/>
          <w:szCs w:val="22"/>
        </w:rPr>
        <w:t xml:space="preserve">The </w:t>
      </w:r>
      <w:r w:rsidR="00D47C37" w:rsidRPr="00B12B0D">
        <w:rPr>
          <w:sz w:val="22"/>
          <w:szCs w:val="22"/>
        </w:rPr>
        <w:t>Department</w:t>
      </w:r>
      <w:r w:rsidR="00ED13AA" w:rsidRPr="00B12B0D">
        <w:rPr>
          <w:sz w:val="22"/>
          <w:szCs w:val="22"/>
        </w:rPr>
        <w:t xml:space="preserve"> should not permit jurisdictions to house youth in protective custody to protect youth from sexual abuse, thus relying on one dangerous practice in an attempt to eliminate another. </w:t>
      </w:r>
    </w:p>
    <w:p w:rsidR="009B5E52" w:rsidRPr="00B12B0D" w:rsidRDefault="009B5E52" w:rsidP="000F623D">
      <w:pPr>
        <w:rPr>
          <w:sz w:val="22"/>
          <w:szCs w:val="22"/>
        </w:rPr>
      </w:pPr>
    </w:p>
    <w:p w:rsidR="00ED13AA" w:rsidRPr="00B12B0D" w:rsidRDefault="00ED13AA" w:rsidP="000F623D">
      <w:pPr>
        <w:rPr>
          <w:sz w:val="22"/>
          <w:szCs w:val="22"/>
          <w:lang w:bidi="en-US"/>
        </w:rPr>
      </w:pPr>
      <w:r w:rsidRPr="00B12B0D">
        <w:rPr>
          <w:sz w:val="22"/>
          <w:szCs w:val="22"/>
        </w:rPr>
        <w:t xml:space="preserve">Adult facilities are simply not equipped to meet the needs of youth.  </w:t>
      </w:r>
      <w:r w:rsidR="00B542A3" w:rsidRPr="00B12B0D">
        <w:rPr>
          <w:sz w:val="22"/>
          <w:szCs w:val="22"/>
        </w:rPr>
        <w:t xml:space="preserve">All </w:t>
      </w:r>
      <w:r w:rsidRPr="00B12B0D">
        <w:rPr>
          <w:sz w:val="22"/>
          <w:szCs w:val="22"/>
          <w:lang w:bidi="en-US"/>
        </w:rPr>
        <w:t>leading professional association</w:t>
      </w:r>
      <w:r w:rsidR="00B542A3" w:rsidRPr="00B12B0D">
        <w:rPr>
          <w:sz w:val="22"/>
          <w:szCs w:val="22"/>
          <w:lang w:bidi="en-US"/>
        </w:rPr>
        <w:t>s</w:t>
      </w:r>
      <w:r w:rsidRPr="00B12B0D">
        <w:rPr>
          <w:sz w:val="22"/>
          <w:szCs w:val="22"/>
          <w:lang w:bidi="en-US"/>
        </w:rPr>
        <w:t xml:space="preserve"> in the field, including the American Bar Association, the American Correctional Association,</w:t>
      </w:r>
      <w:r w:rsidR="000B2F93" w:rsidRPr="00B12B0D">
        <w:rPr>
          <w:sz w:val="22"/>
          <w:szCs w:val="22"/>
          <w:lang w:bidi="en-US"/>
        </w:rPr>
        <w:t xml:space="preserve"> </w:t>
      </w:r>
      <w:r w:rsidR="00482855" w:rsidRPr="00B12B0D">
        <w:rPr>
          <w:sz w:val="22"/>
          <w:szCs w:val="22"/>
          <w:lang w:bidi="en-US"/>
        </w:rPr>
        <w:t xml:space="preserve">the </w:t>
      </w:r>
      <w:r w:rsidR="000B2F93" w:rsidRPr="00B12B0D">
        <w:rPr>
          <w:sz w:val="22"/>
          <w:szCs w:val="22"/>
          <w:lang w:bidi="en-US"/>
        </w:rPr>
        <w:t xml:space="preserve">National Commission on Correctional Health Care, and </w:t>
      </w:r>
      <w:r w:rsidR="00482855" w:rsidRPr="00B12B0D">
        <w:rPr>
          <w:sz w:val="22"/>
          <w:szCs w:val="22"/>
          <w:lang w:bidi="en-US"/>
        </w:rPr>
        <w:t xml:space="preserve">National </w:t>
      </w:r>
      <w:r w:rsidR="000B2F93" w:rsidRPr="00B12B0D">
        <w:rPr>
          <w:sz w:val="22"/>
          <w:szCs w:val="22"/>
          <w:lang w:bidi="en-US"/>
        </w:rPr>
        <w:t xml:space="preserve">Juvenile Detention Association </w:t>
      </w:r>
      <w:r w:rsidR="00B542A3" w:rsidRPr="00B12B0D">
        <w:rPr>
          <w:sz w:val="22"/>
          <w:szCs w:val="22"/>
          <w:lang w:bidi="en-US"/>
        </w:rPr>
        <w:t>have</w:t>
      </w:r>
      <w:r w:rsidRPr="00B12B0D">
        <w:rPr>
          <w:sz w:val="22"/>
          <w:szCs w:val="22"/>
          <w:lang w:bidi="en-US"/>
        </w:rPr>
        <w:t xml:space="preserve"> recognized that juveniles have distinct physical, emotional, social, and safety needs that are different than those of adults and have adopted </w:t>
      </w:r>
      <w:r w:rsidR="00B542A3" w:rsidRPr="00B12B0D">
        <w:rPr>
          <w:sz w:val="22"/>
          <w:szCs w:val="22"/>
          <w:lang w:bidi="en-US"/>
        </w:rPr>
        <w:t xml:space="preserve">policy statements and </w:t>
      </w:r>
      <w:r w:rsidRPr="00B12B0D">
        <w:rPr>
          <w:sz w:val="22"/>
          <w:szCs w:val="22"/>
          <w:lang w:bidi="en-US"/>
        </w:rPr>
        <w:t xml:space="preserve">guidelines calling for </w:t>
      </w:r>
      <w:r w:rsidR="00B542A3" w:rsidRPr="00B12B0D">
        <w:rPr>
          <w:sz w:val="22"/>
          <w:szCs w:val="22"/>
          <w:lang w:bidi="en-US"/>
        </w:rPr>
        <w:t xml:space="preserve">youth </w:t>
      </w:r>
      <w:r w:rsidRPr="00B12B0D">
        <w:rPr>
          <w:sz w:val="22"/>
          <w:szCs w:val="22"/>
          <w:lang w:bidi="en-US"/>
        </w:rPr>
        <w:t xml:space="preserve">to be housed in different settings than adult prisoners.  </w:t>
      </w:r>
    </w:p>
    <w:p w:rsidR="00ED13AA" w:rsidRPr="00B12B0D" w:rsidRDefault="00ED13AA" w:rsidP="000F623D">
      <w:pPr>
        <w:rPr>
          <w:sz w:val="22"/>
          <w:szCs w:val="22"/>
        </w:rPr>
      </w:pPr>
    </w:p>
    <w:p w:rsidR="00F3201D" w:rsidRPr="00B12B0D" w:rsidRDefault="00F3201D" w:rsidP="000F623D">
      <w:pPr>
        <w:rPr>
          <w:i/>
          <w:sz w:val="22"/>
          <w:szCs w:val="22"/>
        </w:rPr>
      </w:pPr>
      <w:r w:rsidRPr="00B12B0D">
        <w:rPr>
          <w:b/>
          <w:i/>
          <w:sz w:val="22"/>
          <w:szCs w:val="22"/>
        </w:rPr>
        <w:t>Question 37:</w:t>
      </w:r>
      <w:r w:rsidRPr="00B12B0D">
        <w:rPr>
          <w:i/>
          <w:sz w:val="22"/>
          <w:szCs w:val="22"/>
        </w:rPr>
        <w:t xml:space="preserve"> If so, what should the standard require, and how should it interact with the current JJDPA requirements and penalties mentioned above?</w:t>
      </w:r>
    </w:p>
    <w:p w:rsidR="00F3201D" w:rsidRPr="00B12B0D" w:rsidRDefault="00F3201D" w:rsidP="000F623D">
      <w:pPr>
        <w:rPr>
          <w:sz w:val="22"/>
          <w:szCs w:val="22"/>
        </w:rPr>
      </w:pPr>
    </w:p>
    <w:p w:rsidR="00C626D9" w:rsidRPr="00B12B0D" w:rsidRDefault="00E165BE" w:rsidP="000F623D">
      <w:pPr>
        <w:rPr>
          <w:rFonts w:eastAsia="Calibri"/>
          <w:sz w:val="22"/>
          <w:szCs w:val="22"/>
        </w:rPr>
      </w:pPr>
      <w:r w:rsidRPr="00B12B0D">
        <w:rPr>
          <w:sz w:val="22"/>
          <w:szCs w:val="22"/>
          <w:lang w:bidi="en-US"/>
        </w:rPr>
        <w:t xml:space="preserve">The Department should explicitly recognize that all youth have a heightened vulnerability for sexual abuse in adult correctional settings and </w:t>
      </w:r>
      <w:r w:rsidR="008A72F1" w:rsidRPr="00B12B0D">
        <w:rPr>
          <w:rFonts w:eastAsia="Calibri"/>
          <w:sz w:val="22"/>
          <w:szCs w:val="22"/>
        </w:rPr>
        <w:t>include a standard requiring the removal of youth under 18 from adult facilities.</w:t>
      </w:r>
    </w:p>
    <w:p w:rsidR="00C626D9" w:rsidRPr="00B12B0D" w:rsidRDefault="00C626D9" w:rsidP="000F623D">
      <w:pPr>
        <w:rPr>
          <w:rFonts w:eastAsia="Calibri"/>
          <w:b/>
          <w:sz w:val="22"/>
          <w:szCs w:val="22"/>
        </w:rPr>
      </w:pPr>
    </w:p>
    <w:p w:rsidR="009F6416" w:rsidRPr="00B12B0D" w:rsidRDefault="009F6416" w:rsidP="000F623D">
      <w:pPr>
        <w:rPr>
          <w:b/>
          <w:sz w:val="22"/>
          <w:szCs w:val="22"/>
        </w:rPr>
      </w:pPr>
      <w:r w:rsidRPr="00B12B0D">
        <w:rPr>
          <w:b/>
          <w:sz w:val="22"/>
          <w:szCs w:val="22"/>
        </w:rPr>
        <w:t>§ 115.44 Prohibition on housing juveniles in adult facilities</w:t>
      </w:r>
    </w:p>
    <w:p w:rsidR="009F6416" w:rsidRPr="00B12B0D" w:rsidRDefault="009F6416" w:rsidP="000F623D">
      <w:pPr>
        <w:rPr>
          <w:b/>
          <w:sz w:val="22"/>
          <w:szCs w:val="22"/>
        </w:rPr>
      </w:pPr>
    </w:p>
    <w:p w:rsidR="009F6416" w:rsidRPr="00B12B0D" w:rsidRDefault="009F6416" w:rsidP="000F623D">
      <w:pPr>
        <w:ind w:left="720"/>
        <w:rPr>
          <w:b/>
          <w:sz w:val="22"/>
          <w:szCs w:val="22"/>
        </w:rPr>
      </w:pPr>
      <w:r w:rsidRPr="00B12B0D">
        <w:rPr>
          <w:b/>
          <w:sz w:val="22"/>
          <w:szCs w:val="22"/>
        </w:rPr>
        <w:t xml:space="preserve">(a) No person under the age of 18 may be housed in a jail or prison.  </w:t>
      </w:r>
    </w:p>
    <w:p w:rsidR="009F6416" w:rsidRPr="00B12B0D" w:rsidRDefault="009F6416" w:rsidP="000F623D">
      <w:pPr>
        <w:ind w:left="720"/>
        <w:rPr>
          <w:b/>
          <w:sz w:val="22"/>
          <w:szCs w:val="22"/>
        </w:rPr>
      </w:pPr>
    </w:p>
    <w:p w:rsidR="009F6416" w:rsidRPr="00B12B0D" w:rsidRDefault="00634502" w:rsidP="000F623D">
      <w:pPr>
        <w:ind w:left="720"/>
        <w:rPr>
          <w:b/>
          <w:sz w:val="22"/>
          <w:szCs w:val="22"/>
        </w:rPr>
      </w:pPr>
      <w:r>
        <w:rPr>
          <w:b/>
          <w:sz w:val="22"/>
          <w:szCs w:val="22"/>
        </w:rPr>
        <w:t xml:space="preserve">(b) The </w:t>
      </w:r>
      <w:r w:rsidR="009F6416" w:rsidRPr="00B12B0D">
        <w:rPr>
          <w:b/>
          <w:sz w:val="22"/>
          <w:szCs w:val="22"/>
        </w:rPr>
        <w:t xml:space="preserve">agency </w:t>
      </w:r>
      <w:r>
        <w:rPr>
          <w:b/>
          <w:sz w:val="22"/>
          <w:szCs w:val="22"/>
        </w:rPr>
        <w:t xml:space="preserve">operating the adult facilit(ies) </w:t>
      </w:r>
      <w:r w:rsidR="009F6416" w:rsidRPr="00B12B0D">
        <w:rPr>
          <w:b/>
          <w:sz w:val="22"/>
          <w:szCs w:val="22"/>
        </w:rPr>
        <w:t>shall enter into memoranda of understanding or other agreements with juvenile justice agenc</w:t>
      </w:r>
      <w:r>
        <w:rPr>
          <w:b/>
          <w:sz w:val="22"/>
          <w:szCs w:val="22"/>
        </w:rPr>
        <w:t>(</w:t>
      </w:r>
      <w:r w:rsidR="009F6416" w:rsidRPr="00B12B0D">
        <w:rPr>
          <w:b/>
          <w:sz w:val="22"/>
          <w:szCs w:val="22"/>
        </w:rPr>
        <w:t>ies</w:t>
      </w:r>
      <w:r>
        <w:rPr>
          <w:b/>
          <w:sz w:val="22"/>
          <w:szCs w:val="22"/>
        </w:rPr>
        <w:t>)</w:t>
      </w:r>
      <w:r w:rsidR="009F6416" w:rsidRPr="00B12B0D">
        <w:rPr>
          <w:b/>
          <w:sz w:val="22"/>
          <w:szCs w:val="22"/>
        </w:rPr>
        <w:t xml:space="preserve"> to receive and immediately house all persons under the age of 18 who are currently, or in the future, assigned to its care.</w:t>
      </w:r>
    </w:p>
    <w:p w:rsidR="00893875" w:rsidRPr="00B12B0D" w:rsidRDefault="00893875" w:rsidP="000F623D">
      <w:pPr>
        <w:rPr>
          <w:sz w:val="22"/>
          <w:szCs w:val="22"/>
        </w:rPr>
      </w:pPr>
    </w:p>
    <w:p w:rsidR="00CE5F82" w:rsidRPr="00B12B0D" w:rsidRDefault="00563736" w:rsidP="000F623D">
      <w:pPr>
        <w:rPr>
          <w:sz w:val="22"/>
          <w:szCs w:val="22"/>
        </w:rPr>
      </w:pPr>
      <w:r w:rsidRPr="00B12B0D">
        <w:rPr>
          <w:sz w:val="22"/>
          <w:szCs w:val="22"/>
        </w:rPr>
        <w:t xml:space="preserve">Our proposed </w:t>
      </w:r>
      <w:r w:rsidR="000B288A" w:rsidRPr="00B12B0D">
        <w:rPr>
          <w:sz w:val="22"/>
          <w:szCs w:val="22"/>
        </w:rPr>
        <w:t>rule</w:t>
      </w:r>
      <w:r w:rsidR="00BF2426" w:rsidRPr="00B12B0D">
        <w:rPr>
          <w:sz w:val="22"/>
          <w:szCs w:val="22"/>
        </w:rPr>
        <w:t xml:space="preserve"> would go beyond the current requirements established by the Juvenile Justice and Delinquency Prevention Act </w:t>
      </w:r>
      <w:r w:rsidR="00FB6BC5" w:rsidRPr="00B12B0D">
        <w:rPr>
          <w:sz w:val="22"/>
          <w:szCs w:val="22"/>
        </w:rPr>
        <w:t>(JJDPA)</w:t>
      </w:r>
      <w:r w:rsidR="00076502" w:rsidRPr="00B12B0D">
        <w:rPr>
          <w:rStyle w:val="FootnoteReference"/>
          <w:sz w:val="22"/>
          <w:szCs w:val="22"/>
        </w:rPr>
        <w:footnoteReference w:id="19"/>
      </w:r>
      <w:r w:rsidR="00FB6BC5" w:rsidRPr="00B12B0D">
        <w:rPr>
          <w:sz w:val="22"/>
          <w:szCs w:val="22"/>
        </w:rPr>
        <w:t xml:space="preserve"> </w:t>
      </w:r>
      <w:r w:rsidR="004875DB" w:rsidRPr="00B12B0D">
        <w:rPr>
          <w:sz w:val="22"/>
          <w:szCs w:val="22"/>
        </w:rPr>
        <w:t>in order to protect</w:t>
      </w:r>
      <w:r w:rsidR="00EE79C5" w:rsidRPr="00B12B0D">
        <w:rPr>
          <w:sz w:val="22"/>
          <w:szCs w:val="22"/>
        </w:rPr>
        <w:t xml:space="preserve"> all</w:t>
      </w:r>
      <w:r w:rsidR="000B288A" w:rsidRPr="00B12B0D">
        <w:rPr>
          <w:sz w:val="22"/>
          <w:szCs w:val="22"/>
        </w:rPr>
        <w:t xml:space="preserve"> youth from the very real risk of sexual </w:t>
      </w:r>
      <w:r w:rsidR="0056286E" w:rsidRPr="00B12B0D">
        <w:rPr>
          <w:sz w:val="22"/>
          <w:szCs w:val="22"/>
        </w:rPr>
        <w:t>abuse i</w:t>
      </w:r>
      <w:r w:rsidR="000B288A" w:rsidRPr="00B12B0D">
        <w:rPr>
          <w:sz w:val="22"/>
          <w:szCs w:val="22"/>
        </w:rPr>
        <w:t xml:space="preserve">n adult facilities. </w:t>
      </w:r>
    </w:p>
    <w:p w:rsidR="00CE5F82" w:rsidRPr="00B12B0D" w:rsidRDefault="00CE5F82" w:rsidP="000F623D">
      <w:pPr>
        <w:rPr>
          <w:sz w:val="22"/>
          <w:szCs w:val="22"/>
        </w:rPr>
      </w:pPr>
    </w:p>
    <w:p w:rsidR="00FF6416" w:rsidRPr="00B12B0D" w:rsidRDefault="00FB6BC5" w:rsidP="000F623D">
      <w:pPr>
        <w:rPr>
          <w:iCs/>
          <w:sz w:val="22"/>
          <w:szCs w:val="22"/>
        </w:rPr>
      </w:pPr>
      <w:r w:rsidRPr="00B12B0D">
        <w:rPr>
          <w:iCs/>
          <w:sz w:val="22"/>
          <w:szCs w:val="22"/>
        </w:rPr>
        <w:t>The JJDPA was enacted over three decades ago to keep youth out of adult facilities</w:t>
      </w:r>
      <w:r w:rsidR="00124AC1" w:rsidRPr="00B12B0D">
        <w:rPr>
          <w:iCs/>
          <w:sz w:val="22"/>
          <w:szCs w:val="22"/>
        </w:rPr>
        <w:t xml:space="preserve"> and </w:t>
      </w:r>
      <w:r w:rsidRPr="00B12B0D">
        <w:rPr>
          <w:iCs/>
          <w:sz w:val="22"/>
          <w:szCs w:val="22"/>
        </w:rPr>
        <w:t xml:space="preserve"> requires states to ensure that no juvenile be “detained or confined in any institution in which they have contact with adult inmates.”</w:t>
      </w:r>
      <w:r w:rsidRPr="00B12B0D">
        <w:rPr>
          <w:iCs/>
          <w:sz w:val="22"/>
          <w:szCs w:val="22"/>
          <w:vertAlign w:val="superscript"/>
        </w:rPr>
        <w:footnoteReference w:id="20"/>
      </w:r>
      <w:r w:rsidRPr="00B12B0D">
        <w:rPr>
          <w:iCs/>
          <w:sz w:val="22"/>
          <w:szCs w:val="22"/>
        </w:rPr>
        <w:t xml:space="preserve"> Although this language suggests that Congress intended to prevent youth from being housed in adult facilities altogether, the JJDPA does not protect all youth.</w:t>
      </w:r>
      <w:r w:rsidR="008809B4" w:rsidRPr="00B12B0D">
        <w:rPr>
          <w:iCs/>
          <w:sz w:val="22"/>
          <w:szCs w:val="22"/>
        </w:rPr>
        <w:t xml:space="preserve"> </w:t>
      </w:r>
      <w:r w:rsidR="00FF6416" w:rsidRPr="00B12B0D">
        <w:rPr>
          <w:iCs/>
          <w:sz w:val="22"/>
          <w:szCs w:val="22"/>
        </w:rPr>
        <w:t xml:space="preserve">There are four categories of youth that may potentially be placed in </w:t>
      </w:r>
      <w:r w:rsidR="00CE4F42" w:rsidRPr="00B12B0D">
        <w:rPr>
          <w:iCs/>
          <w:sz w:val="22"/>
          <w:szCs w:val="22"/>
        </w:rPr>
        <w:t xml:space="preserve">an </w:t>
      </w:r>
      <w:r w:rsidR="00FF6416" w:rsidRPr="00B12B0D">
        <w:rPr>
          <w:iCs/>
          <w:sz w:val="22"/>
          <w:szCs w:val="22"/>
        </w:rPr>
        <w:t>adult jail</w:t>
      </w:r>
      <w:r w:rsidR="00CE4F42" w:rsidRPr="00B12B0D">
        <w:rPr>
          <w:iCs/>
          <w:sz w:val="22"/>
          <w:szCs w:val="22"/>
        </w:rPr>
        <w:t xml:space="preserve"> or</w:t>
      </w:r>
      <w:r w:rsidR="00FF6416" w:rsidRPr="00B12B0D">
        <w:rPr>
          <w:iCs/>
          <w:sz w:val="22"/>
          <w:szCs w:val="22"/>
        </w:rPr>
        <w:t xml:space="preserve"> prison: </w:t>
      </w:r>
    </w:p>
    <w:p w:rsidR="008809B4" w:rsidRPr="00B12B0D" w:rsidRDefault="008809B4" w:rsidP="000F623D">
      <w:pPr>
        <w:rPr>
          <w:iCs/>
          <w:sz w:val="22"/>
          <w:szCs w:val="22"/>
        </w:rPr>
      </w:pPr>
    </w:p>
    <w:p w:rsidR="00FF6416" w:rsidRPr="00B12B0D" w:rsidRDefault="00612C89" w:rsidP="000F623D">
      <w:pPr>
        <w:pStyle w:val="ListParagraph"/>
        <w:numPr>
          <w:ilvl w:val="0"/>
          <w:numId w:val="28"/>
        </w:numPr>
        <w:rPr>
          <w:iCs/>
          <w:sz w:val="22"/>
          <w:szCs w:val="22"/>
        </w:rPr>
      </w:pPr>
      <w:r w:rsidRPr="00B12B0D">
        <w:rPr>
          <w:iCs/>
          <w:sz w:val="22"/>
          <w:szCs w:val="22"/>
        </w:rPr>
        <w:t>Y</w:t>
      </w:r>
      <w:r w:rsidR="00FF6416" w:rsidRPr="00B12B0D">
        <w:rPr>
          <w:iCs/>
          <w:sz w:val="22"/>
          <w:szCs w:val="22"/>
        </w:rPr>
        <w:t>outh who have not committed any crime</w:t>
      </w:r>
      <w:r w:rsidRPr="00B12B0D">
        <w:rPr>
          <w:iCs/>
          <w:sz w:val="22"/>
          <w:szCs w:val="22"/>
        </w:rPr>
        <w:t xml:space="preserve"> (nonoffenders)</w:t>
      </w:r>
      <w:r w:rsidR="00FF6416" w:rsidRPr="00B12B0D">
        <w:rPr>
          <w:iCs/>
          <w:sz w:val="22"/>
          <w:szCs w:val="22"/>
        </w:rPr>
        <w:t>;</w:t>
      </w:r>
    </w:p>
    <w:p w:rsidR="00FF6416" w:rsidRPr="00B12B0D" w:rsidRDefault="00612C89" w:rsidP="000F623D">
      <w:pPr>
        <w:pStyle w:val="ListParagraph"/>
        <w:numPr>
          <w:ilvl w:val="0"/>
          <w:numId w:val="28"/>
        </w:numPr>
        <w:rPr>
          <w:iCs/>
          <w:sz w:val="22"/>
          <w:szCs w:val="22"/>
        </w:rPr>
      </w:pPr>
      <w:r w:rsidRPr="00B12B0D">
        <w:rPr>
          <w:iCs/>
          <w:sz w:val="22"/>
          <w:szCs w:val="22"/>
        </w:rPr>
        <w:t>Yo</w:t>
      </w:r>
      <w:r w:rsidR="00FF6416" w:rsidRPr="00B12B0D">
        <w:rPr>
          <w:iCs/>
          <w:sz w:val="22"/>
          <w:szCs w:val="22"/>
        </w:rPr>
        <w:t>uth who have committed an offense that is not a criminal offense for adults</w:t>
      </w:r>
      <w:r w:rsidRPr="00B12B0D">
        <w:rPr>
          <w:iCs/>
          <w:sz w:val="22"/>
          <w:szCs w:val="22"/>
        </w:rPr>
        <w:t xml:space="preserve"> (status offenders)</w:t>
      </w:r>
      <w:r w:rsidR="00FF6416" w:rsidRPr="00B12B0D">
        <w:rPr>
          <w:iCs/>
          <w:sz w:val="22"/>
          <w:szCs w:val="22"/>
        </w:rPr>
        <w:t xml:space="preserve">; </w:t>
      </w:r>
    </w:p>
    <w:p w:rsidR="00FF6416" w:rsidRPr="00B12B0D" w:rsidRDefault="00FF6416" w:rsidP="000F623D">
      <w:pPr>
        <w:pStyle w:val="ListParagraph"/>
        <w:numPr>
          <w:ilvl w:val="0"/>
          <w:numId w:val="28"/>
        </w:numPr>
        <w:rPr>
          <w:iCs/>
          <w:sz w:val="22"/>
          <w:szCs w:val="22"/>
        </w:rPr>
      </w:pPr>
      <w:r w:rsidRPr="00B12B0D">
        <w:rPr>
          <w:iCs/>
          <w:sz w:val="22"/>
          <w:szCs w:val="22"/>
        </w:rPr>
        <w:t>Youth who have</w:t>
      </w:r>
      <w:r w:rsidR="00612C89" w:rsidRPr="00B12B0D">
        <w:rPr>
          <w:iCs/>
          <w:sz w:val="22"/>
          <w:szCs w:val="22"/>
        </w:rPr>
        <w:t xml:space="preserve"> committed a crime and are </w:t>
      </w:r>
      <w:r w:rsidRPr="00B12B0D">
        <w:rPr>
          <w:iCs/>
          <w:sz w:val="22"/>
          <w:szCs w:val="22"/>
        </w:rPr>
        <w:t>adjudicated in the juvenile justice system; and</w:t>
      </w:r>
    </w:p>
    <w:p w:rsidR="00FF6416" w:rsidRPr="00B12B0D" w:rsidRDefault="00FF6416" w:rsidP="000F623D">
      <w:pPr>
        <w:pStyle w:val="ListParagraph"/>
        <w:numPr>
          <w:ilvl w:val="0"/>
          <w:numId w:val="28"/>
        </w:numPr>
        <w:rPr>
          <w:iCs/>
          <w:sz w:val="22"/>
          <w:szCs w:val="22"/>
        </w:rPr>
      </w:pPr>
      <w:r w:rsidRPr="00B12B0D">
        <w:rPr>
          <w:iCs/>
          <w:sz w:val="22"/>
          <w:szCs w:val="22"/>
        </w:rPr>
        <w:t xml:space="preserve">Youth </w:t>
      </w:r>
      <w:r w:rsidR="00612C89" w:rsidRPr="00B12B0D">
        <w:rPr>
          <w:iCs/>
          <w:sz w:val="22"/>
          <w:szCs w:val="22"/>
        </w:rPr>
        <w:t>who have committed a crime and are</w:t>
      </w:r>
      <w:r w:rsidRPr="00B12B0D">
        <w:rPr>
          <w:iCs/>
          <w:sz w:val="22"/>
          <w:szCs w:val="22"/>
        </w:rPr>
        <w:t xml:space="preserve"> prosecuted in the adult criminal justice system.  </w:t>
      </w:r>
    </w:p>
    <w:p w:rsidR="00FF6416" w:rsidRPr="00B12B0D" w:rsidRDefault="00FF6416" w:rsidP="000F623D">
      <w:pPr>
        <w:rPr>
          <w:iCs/>
          <w:sz w:val="22"/>
          <w:szCs w:val="22"/>
        </w:rPr>
      </w:pPr>
    </w:p>
    <w:p w:rsidR="00FF6416" w:rsidRPr="00B12B0D" w:rsidRDefault="0042560E" w:rsidP="000F623D">
      <w:pPr>
        <w:rPr>
          <w:iCs/>
          <w:sz w:val="22"/>
          <w:szCs w:val="22"/>
        </w:rPr>
      </w:pPr>
      <w:r w:rsidRPr="00B12B0D">
        <w:rPr>
          <w:iCs/>
          <w:sz w:val="22"/>
          <w:szCs w:val="22"/>
        </w:rPr>
        <w:t xml:space="preserve">The JJDPA </w:t>
      </w:r>
      <w:r w:rsidR="00FF6416" w:rsidRPr="00B12B0D">
        <w:rPr>
          <w:iCs/>
          <w:sz w:val="22"/>
          <w:szCs w:val="22"/>
        </w:rPr>
        <w:t xml:space="preserve">only protects youth in the first three categories, </w:t>
      </w:r>
      <w:r w:rsidR="00406B5B" w:rsidRPr="00B12B0D">
        <w:rPr>
          <w:iCs/>
          <w:sz w:val="22"/>
          <w:szCs w:val="22"/>
        </w:rPr>
        <w:t>and allows youth in the</w:t>
      </w:r>
      <w:r w:rsidR="00A7056A">
        <w:rPr>
          <w:iCs/>
          <w:sz w:val="22"/>
          <w:szCs w:val="22"/>
        </w:rPr>
        <w:t xml:space="preserve"> third category </w:t>
      </w:r>
      <w:r w:rsidR="00406B5B" w:rsidRPr="00B12B0D">
        <w:rPr>
          <w:iCs/>
          <w:sz w:val="22"/>
          <w:szCs w:val="22"/>
        </w:rPr>
        <w:t xml:space="preserve">to be held in rural jails in certain instances.  </w:t>
      </w:r>
      <w:r w:rsidR="00FF6416" w:rsidRPr="00B12B0D">
        <w:rPr>
          <w:iCs/>
          <w:sz w:val="22"/>
          <w:szCs w:val="22"/>
        </w:rPr>
        <w:t>The JJDPA does not currently protect youth prosecuted in the adult criminal system.  At the time the JJDPA was passed, many fewer youth were prosecuted as adults.  State legislative changes during the 1980s and 1990s made it easier for youth to be prosecuted in adult criminal courts, and now recent estimates are that 250,000 children are prosecuted as adults each year in the United States.</w:t>
      </w:r>
      <w:r w:rsidR="00FF6416" w:rsidRPr="00B12B0D">
        <w:rPr>
          <w:iCs/>
          <w:sz w:val="22"/>
          <w:szCs w:val="22"/>
          <w:vertAlign w:val="superscript"/>
        </w:rPr>
        <w:footnoteReference w:id="21"/>
      </w:r>
      <w:r w:rsidR="00FF6416" w:rsidRPr="00B12B0D">
        <w:rPr>
          <w:iCs/>
          <w:sz w:val="22"/>
          <w:szCs w:val="22"/>
        </w:rPr>
        <w:t xml:space="preserve">  </w:t>
      </w:r>
    </w:p>
    <w:p w:rsidR="003C7E9C" w:rsidRPr="00B12B0D" w:rsidRDefault="003C7E9C" w:rsidP="000F623D">
      <w:pPr>
        <w:rPr>
          <w:iCs/>
          <w:sz w:val="22"/>
          <w:szCs w:val="22"/>
        </w:rPr>
      </w:pPr>
    </w:p>
    <w:p w:rsidR="003C7E9C" w:rsidRPr="00B12B0D" w:rsidRDefault="003C7E9C" w:rsidP="000F623D">
      <w:pPr>
        <w:rPr>
          <w:iCs/>
          <w:sz w:val="22"/>
          <w:szCs w:val="22"/>
        </w:rPr>
      </w:pPr>
      <w:r w:rsidRPr="00B12B0D">
        <w:rPr>
          <w:iCs/>
          <w:sz w:val="22"/>
          <w:szCs w:val="22"/>
        </w:rPr>
        <w:t xml:space="preserve">Our </w:t>
      </w:r>
      <w:r w:rsidR="00CD4333" w:rsidRPr="00B12B0D">
        <w:rPr>
          <w:iCs/>
          <w:sz w:val="22"/>
          <w:szCs w:val="22"/>
        </w:rPr>
        <w:t xml:space="preserve">recommended standard </w:t>
      </w:r>
      <w:r w:rsidRPr="00B12B0D">
        <w:rPr>
          <w:iCs/>
          <w:sz w:val="22"/>
          <w:szCs w:val="22"/>
        </w:rPr>
        <w:t xml:space="preserve">would </w:t>
      </w:r>
      <w:r w:rsidR="00CD4333" w:rsidRPr="00B12B0D">
        <w:rPr>
          <w:iCs/>
          <w:sz w:val="22"/>
          <w:szCs w:val="22"/>
        </w:rPr>
        <w:t xml:space="preserve">remove </w:t>
      </w:r>
      <w:r w:rsidRPr="00B12B0D">
        <w:rPr>
          <w:iCs/>
          <w:sz w:val="22"/>
          <w:szCs w:val="22"/>
        </w:rPr>
        <w:t xml:space="preserve">all youth under the age of 18 </w:t>
      </w:r>
      <w:r w:rsidR="00CD4333" w:rsidRPr="00B12B0D">
        <w:rPr>
          <w:iCs/>
          <w:sz w:val="22"/>
          <w:szCs w:val="22"/>
        </w:rPr>
        <w:t xml:space="preserve">from </w:t>
      </w:r>
      <w:r w:rsidRPr="00B12B0D">
        <w:rPr>
          <w:iCs/>
          <w:sz w:val="22"/>
          <w:szCs w:val="22"/>
        </w:rPr>
        <w:t>adult facilities, and therefore go</w:t>
      </w:r>
      <w:r w:rsidR="003919D0" w:rsidRPr="00B12B0D">
        <w:rPr>
          <w:iCs/>
          <w:sz w:val="22"/>
          <w:szCs w:val="22"/>
        </w:rPr>
        <w:t>es</w:t>
      </w:r>
      <w:r w:rsidRPr="00B12B0D">
        <w:rPr>
          <w:iCs/>
          <w:sz w:val="22"/>
          <w:szCs w:val="22"/>
        </w:rPr>
        <w:t xml:space="preserve"> beyond the statutory requirements of the existing JJDPA</w:t>
      </w:r>
      <w:r w:rsidR="003919D0" w:rsidRPr="00B12B0D">
        <w:rPr>
          <w:iCs/>
          <w:sz w:val="22"/>
          <w:szCs w:val="22"/>
        </w:rPr>
        <w:t>.</w:t>
      </w:r>
      <w:r w:rsidR="00903518" w:rsidRPr="00B12B0D">
        <w:rPr>
          <w:iCs/>
          <w:sz w:val="22"/>
          <w:szCs w:val="22"/>
        </w:rPr>
        <w:t xml:space="preserve">  The penalties imposed on a facility or agency for failure to remove youth from adult facilities should be imposed as appropriate to the type of violation. </w:t>
      </w:r>
      <w:r w:rsidRPr="00B12B0D">
        <w:rPr>
          <w:iCs/>
          <w:sz w:val="22"/>
          <w:szCs w:val="22"/>
        </w:rPr>
        <w:t>To the extent that facilities are currently housing youth in adult facilities in violation of the current JJDPA</w:t>
      </w:r>
      <w:r w:rsidR="00903518" w:rsidRPr="00B12B0D">
        <w:rPr>
          <w:iCs/>
          <w:sz w:val="22"/>
          <w:szCs w:val="22"/>
        </w:rPr>
        <w:t xml:space="preserve"> (i.e., the first three categories of youth)</w:t>
      </w:r>
      <w:r w:rsidRPr="00B12B0D">
        <w:rPr>
          <w:iCs/>
          <w:sz w:val="22"/>
          <w:szCs w:val="22"/>
        </w:rPr>
        <w:t>, these facilities should be found out of compliance with both the JJDPA and PREA.  Facilities housing youth in adult facilities in violation of our recommended approach, but that are not in violation of the JJDPA</w:t>
      </w:r>
      <w:r w:rsidR="00903518" w:rsidRPr="00B12B0D">
        <w:rPr>
          <w:iCs/>
          <w:sz w:val="22"/>
          <w:szCs w:val="22"/>
        </w:rPr>
        <w:t xml:space="preserve"> (i.e., youth in the fourth category)</w:t>
      </w:r>
      <w:r w:rsidRPr="00B12B0D">
        <w:rPr>
          <w:iCs/>
          <w:sz w:val="22"/>
          <w:szCs w:val="22"/>
        </w:rPr>
        <w:t>, should be found out of compliance with PREA</w:t>
      </w:r>
      <w:r w:rsidR="001C56EC" w:rsidRPr="00B12B0D">
        <w:rPr>
          <w:iCs/>
          <w:sz w:val="22"/>
          <w:szCs w:val="22"/>
        </w:rPr>
        <w:t xml:space="preserve"> alone</w:t>
      </w:r>
      <w:r w:rsidRPr="00B12B0D">
        <w:rPr>
          <w:iCs/>
          <w:sz w:val="22"/>
          <w:szCs w:val="22"/>
        </w:rPr>
        <w:t xml:space="preserve">.  </w:t>
      </w:r>
      <w:r w:rsidR="0039058F">
        <w:rPr>
          <w:iCs/>
          <w:sz w:val="22"/>
          <w:szCs w:val="22"/>
        </w:rPr>
        <w:t xml:space="preserve">The statutorily prescribed financial penalities should be assessed. </w:t>
      </w:r>
      <w:r w:rsidRPr="00B12B0D">
        <w:rPr>
          <w:iCs/>
          <w:sz w:val="22"/>
          <w:szCs w:val="22"/>
        </w:rPr>
        <w:t xml:space="preserve">We urge the Department to set aside any funds that are withheld from jurisdictions that fail to comply with our proposed rule to help facilities come into compliance. </w:t>
      </w:r>
    </w:p>
    <w:p w:rsidR="00FF6416" w:rsidRPr="00B12B0D" w:rsidRDefault="00FF6416" w:rsidP="000F623D">
      <w:pPr>
        <w:rPr>
          <w:iCs/>
          <w:sz w:val="22"/>
          <w:szCs w:val="22"/>
        </w:rPr>
      </w:pPr>
    </w:p>
    <w:p w:rsidR="00E73AE3" w:rsidRPr="00B12B0D" w:rsidRDefault="00E73AE3" w:rsidP="000F623D">
      <w:pPr>
        <w:rPr>
          <w:b/>
          <w:iCs/>
          <w:sz w:val="22"/>
          <w:szCs w:val="22"/>
        </w:rPr>
      </w:pPr>
      <w:r w:rsidRPr="00B12B0D">
        <w:rPr>
          <w:sz w:val="22"/>
          <w:szCs w:val="22"/>
          <w:lang w:bidi="en-US"/>
        </w:rPr>
        <w:t xml:space="preserve">Although state juvenile justice systems differ in many ways, the majority of states (37) have set their maximum age of juvenile jurisdiction at age 18, and we believe the Department should similarly establish a clear line that adulthood begins at age 18.  The American Bar Association, in its </w:t>
      </w:r>
      <w:r w:rsidR="00E86FB8">
        <w:rPr>
          <w:sz w:val="22"/>
          <w:szCs w:val="22"/>
          <w:lang w:bidi="en-US"/>
        </w:rPr>
        <w:t>Juvenile Justice S</w:t>
      </w:r>
      <w:r w:rsidRPr="00B12B0D">
        <w:rPr>
          <w:sz w:val="22"/>
          <w:szCs w:val="22"/>
          <w:lang w:bidi="en-US"/>
        </w:rPr>
        <w:t xml:space="preserve">tandards Relating to </w:t>
      </w:r>
      <w:r w:rsidR="00E86FB8">
        <w:rPr>
          <w:sz w:val="22"/>
          <w:szCs w:val="22"/>
          <w:lang w:bidi="en-US"/>
        </w:rPr>
        <w:t>Transfer Between Courts</w:t>
      </w:r>
      <w:r w:rsidRPr="00B12B0D">
        <w:rPr>
          <w:sz w:val="22"/>
          <w:szCs w:val="22"/>
          <w:lang w:bidi="en-US"/>
        </w:rPr>
        <w:t xml:space="preserve">, recommends 18 as the age of juvenile jurisdiction. The United States Supreme Court has also established age 18 as the age relevant to judge criminal penalties imposed on youth.  In the 2005 decision of </w:t>
      </w:r>
      <w:r w:rsidRPr="00B12B0D">
        <w:rPr>
          <w:i/>
          <w:iCs/>
          <w:sz w:val="22"/>
          <w:szCs w:val="22"/>
          <w:lang w:bidi="en-US"/>
        </w:rPr>
        <w:t xml:space="preserve">Roper v. Simmons, </w:t>
      </w:r>
      <w:r w:rsidRPr="00B12B0D">
        <w:rPr>
          <w:sz w:val="22"/>
          <w:szCs w:val="22"/>
          <w:lang w:bidi="en-US"/>
        </w:rPr>
        <w:t xml:space="preserve">the Supreme Court affirmed the Missouri State Supreme Court’s decision to prohibit the death penalty for juvenile offenders, defined as persons </w:t>
      </w:r>
      <w:r w:rsidRPr="00B12B0D">
        <w:rPr>
          <w:sz w:val="22"/>
          <w:szCs w:val="22"/>
          <w:lang w:bidi="en-US"/>
        </w:rPr>
        <w:lastRenderedPageBreak/>
        <w:t>under the age of 18, even though Missouri’s juvenile justice system ends at age 17.</w:t>
      </w:r>
      <w:r w:rsidRPr="00B12B0D">
        <w:rPr>
          <w:sz w:val="22"/>
          <w:szCs w:val="22"/>
          <w:vertAlign w:val="superscript"/>
          <w:lang w:bidi="en-US"/>
        </w:rPr>
        <w:footnoteReference w:id="22"/>
      </w:r>
      <w:r w:rsidRPr="00B12B0D">
        <w:rPr>
          <w:sz w:val="22"/>
          <w:szCs w:val="22"/>
          <w:lang w:bidi="en-US"/>
        </w:rPr>
        <w:t xml:space="preserve"> Last year, the Court maintained this defining line in </w:t>
      </w:r>
      <w:r w:rsidRPr="00B12B0D">
        <w:rPr>
          <w:i/>
          <w:iCs/>
          <w:sz w:val="22"/>
          <w:szCs w:val="22"/>
          <w:lang w:bidi="en-US"/>
        </w:rPr>
        <w:t>Graham v. Florida,</w:t>
      </w:r>
      <w:r w:rsidRPr="00B12B0D">
        <w:rPr>
          <w:sz w:val="22"/>
          <w:szCs w:val="22"/>
          <w:lang w:bidi="en-US"/>
        </w:rPr>
        <w:t xml:space="preserve"> when the Court held that persons cannot be given a life sentence without the possibility of parole for a non-homicide crime committed before the age of 18. Finally, international treaties endorse age 18 as the proper age to delineate between juvenile and adult court treatment.</w:t>
      </w:r>
    </w:p>
    <w:p w:rsidR="00E73AE3" w:rsidRPr="00B12B0D" w:rsidRDefault="00E73AE3" w:rsidP="000F623D">
      <w:pPr>
        <w:rPr>
          <w:sz w:val="22"/>
          <w:szCs w:val="22"/>
          <w:lang w:bidi="en-US"/>
        </w:rPr>
      </w:pPr>
    </w:p>
    <w:p w:rsidR="00623EE1" w:rsidRPr="00B12B0D" w:rsidRDefault="00815A74" w:rsidP="000F623D">
      <w:pPr>
        <w:rPr>
          <w:sz w:val="22"/>
          <w:szCs w:val="22"/>
          <w:lang w:bidi="en-US"/>
        </w:rPr>
      </w:pPr>
      <w:r w:rsidRPr="00B12B0D">
        <w:rPr>
          <w:sz w:val="22"/>
          <w:szCs w:val="22"/>
          <w:lang w:bidi="en-US"/>
        </w:rPr>
        <w:t xml:space="preserve">The Department would </w:t>
      </w:r>
      <w:r w:rsidR="002C63F0" w:rsidRPr="00B12B0D">
        <w:rPr>
          <w:sz w:val="22"/>
          <w:szCs w:val="22"/>
          <w:lang w:bidi="en-US"/>
        </w:rPr>
        <w:t xml:space="preserve">also </w:t>
      </w:r>
      <w:r w:rsidRPr="00B12B0D">
        <w:rPr>
          <w:sz w:val="22"/>
          <w:szCs w:val="22"/>
          <w:lang w:bidi="en-US"/>
        </w:rPr>
        <w:t xml:space="preserve">be justified in making such a rule on the basis of congressional intent.  </w:t>
      </w:r>
      <w:r w:rsidR="004B3027" w:rsidRPr="00B12B0D">
        <w:rPr>
          <w:sz w:val="22"/>
          <w:szCs w:val="22"/>
          <w:lang w:bidi="en-US"/>
        </w:rPr>
        <w:t xml:space="preserve">Congress passed PREA </w:t>
      </w:r>
      <w:r w:rsidR="005A4B85">
        <w:rPr>
          <w:sz w:val="22"/>
          <w:szCs w:val="22"/>
          <w:lang w:bidi="en-US"/>
        </w:rPr>
        <w:t xml:space="preserve">in response </w:t>
      </w:r>
      <w:r w:rsidR="004B3027" w:rsidRPr="00B12B0D">
        <w:rPr>
          <w:sz w:val="22"/>
          <w:szCs w:val="22"/>
          <w:lang w:bidi="en-US"/>
        </w:rPr>
        <w:t>to its findings that “young first-time offenders are at increased risk of sexual victimization.  Juveniles are 5 times more likely to be sexually assaulted in adult rather than juvenile facilities – often within the first 48 hours of incarceration.”</w:t>
      </w:r>
      <w:r w:rsidR="004B3027" w:rsidRPr="00B12B0D">
        <w:rPr>
          <w:sz w:val="22"/>
          <w:szCs w:val="22"/>
          <w:vertAlign w:val="superscript"/>
          <w:lang w:bidi="en-US"/>
        </w:rPr>
        <w:footnoteReference w:id="23"/>
      </w:r>
      <w:r w:rsidR="004B3027" w:rsidRPr="00B12B0D">
        <w:rPr>
          <w:sz w:val="22"/>
          <w:szCs w:val="22"/>
          <w:lang w:bidi="en-US"/>
        </w:rPr>
        <w:t xml:space="preserve"> As Chairman John Conyers noted in the most recent legislative hearing on the sexual abuse of incarcerated children, “I would like to discuss what I believe is a very simple solution:  we should stop sending children to adult jails and prisons.  It absolutely makes no sense to incarcerate children in dangerous adult jails.”  </w:t>
      </w:r>
    </w:p>
    <w:p w:rsidR="00623EE1" w:rsidRPr="00B12B0D" w:rsidRDefault="00623EE1" w:rsidP="000F623D">
      <w:pPr>
        <w:rPr>
          <w:sz w:val="22"/>
          <w:szCs w:val="22"/>
          <w:lang w:bidi="en-US"/>
        </w:rPr>
      </w:pPr>
    </w:p>
    <w:p w:rsidR="000A51DD" w:rsidRPr="00B12B0D" w:rsidRDefault="00F318E8" w:rsidP="000F623D">
      <w:pPr>
        <w:rPr>
          <w:sz w:val="22"/>
          <w:szCs w:val="22"/>
        </w:rPr>
      </w:pPr>
      <w:r w:rsidRPr="00B12B0D">
        <w:rPr>
          <w:b/>
          <w:sz w:val="22"/>
          <w:szCs w:val="22"/>
        </w:rPr>
        <w:t xml:space="preserve">The costs of removing youth from adult facilities are justified by the benefits. </w:t>
      </w:r>
      <w:r w:rsidR="000A51DD" w:rsidRPr="00B12B0D">
        <w:rPr>
          <w:sz w:val="22"/>
          <w:szCs w:val="22"/>
        </w:rPr>
        <w:t xml:space="preserve">We acknowledge that the costs may be significant in some jurisdictions, particularly for states that have set their age of juvenile court jurisdiction below the age of 18.  Nonetheless, the important inquiry for the Department is whether the costs outweigh the benefits.  In addition to the moral benefit of removing youth from adult facilities, we believe that the Department will similarly find that from a cost-benefit standpoint, our recommendations are justified.  </w:t>
      </w:r>
    </w:p>
    <w:p w:rsidR="000A51DD" w:rsidRPr="00B12B0D" w:rsidRDefault="000A51DD" w:rsidP="000F623D">
      <w:pPr>
        <w:rPr>
          <w:sz w:val="22"/>
          <w:szCs w:val="22"/>
        </w:rPr>
      </w:pPr>
    </w:p>
    <w:p w:rsidR="00FF6416" w:rsidRPr="00B12B0D" w:rsidRDefault="002C63F0" w:rsidP="000F623D">
      <w:pPr>
        <w:rPr>
          <w:sz w:val="22"/>
          <w:szCs w:val="22"/>
        </w:rPr>
      </w:pPr>
      <w:r w:rsidRPr="00B12B0D">
        <w:rPr>
          <w:sz w:val="22"/>
          <w:szCs w:val="22"/>
        </w:rPr>
        <w:t>T</w:t>
      </w:r>
      <w:r w:rsidR="00FF6416" w:rsidRPr="00B12B0D">
        <w:rPr>
          <w:sz w:val="22"/>
          <w:szCs w:val="22"/>
        </w:rPr>
        <w:t>he Department’s Initial Regulatory Impact Analysis did not consider the abuse of youth in adult facilities</w:t>
      </w:r>
      <w:r w:rsidR="001B1CDA" w:rsidRPr="00B12B0D">
        <w:rPr>
          <w:sz w:val="22"/>
          <w:szCs w:val="22"/>
        </w:rPr>
        <w:t xml:space="preserve"> in the </w:t>
      </w:r>
      <w:r w:rsidR="00FF6416" w:rsidRPr="00B12B0D">
        <w:rPr>
          <w:sz w:val="22"/>
          <w:szCs w:val="22"/>
        </w:rPr>
        <w:t>baseline calculations of the prevalence of prison rape and sexual abuse in adult jails and prisons</w:t>
      </w:r>
      <w:r w:rsidR="001B1CDA" w:rsidRPr="00B12B0D">
        <w:rPr>
          <w:sz w:val="22"/>
          <w:szCs w:val="22"/>
        </w:rPr>
        <w:t xml:space="preserve">.  </w:t>
      </w:r>
      <w:r w:rsidR="00FF6416" w:rsidRPr="00B12B0D">
        <w:rPr>
          <w:sz w:val="22"/>
          <w:szCs w:val="22"/>
        </w:rPr>
        <w:t xml:space="preserve">When the Department revisits the cost-benefit issue, </w:t>
      </w:r>
      <w:r w:rsidR="00011EA4">
        <w:rPr>
          <w:sz w:val="22"/>
          <w:szCs w:val="22"/>
        </w:rPr>
        <w:t>t</w:t>
      </w:r>
      <w:r w:rsidR="00FF6416" w:rsidRPr="00B12B0D">
        <w:rPr>
          <w:sz w:val="22"/>
          <w:szCs w:val="22"/>
        </w:rPr>
        <w:t xml:space="preserve">he Department </w:t>
      </w:r>
      <w:r w:rsidR="00011EA4">
        <w:rPr>
          <w:sz w:val="22"/>
          <w:szCs w:val="22"/>
        </w:rPr>
        <w:t xml:space="preserve">should </w:t>
      </w:r>
      <w:r w:rsidR="00FF6416" w:rsidRPr="00B12B0D">
        <w:rPr>
          <w:sz w:val="22"/>
          <w:szCs w:val="22"/>
        </w:rPr>
        <w:t xml:space="preserve">account for the increased risks that youth face when housed in adult jails and prisons (e.g., the higher suicide rates) and the increased costs associated with increased recidivism of youth prosecuted as adults.  </w:t>
      </w:r>
      <w:r w:rsidR="00F67829" w:rsidRPr="00B12B0D">
        <w:rPr>
          <w:sz w:val="22"/>
          <w:szCs w:val="22"/>
          <w:lang w:bidi="en-US"/>
        </w:rPr>
        <w:t xml:space="preserve">According to both the U.S. Centers for Disease Control and Prevention and the Department’s own Office of Juvenile Justice and Delinquency Prevention, youth who are transferred from the juvenile court system to the adult criminal system are approximately 34% more likely than youth retained in the juvenile court system to be re-arrested for violent or other crime. </w:t>
      </w:r>
      <w:r w:rsidR="00F67829" w:rsidRPr="00B12B0D">
        <w:rPr>
          <w:sz w:val="22"/>
          <w:szCs w:val="22"/>
          <w:vertAlign w:val="superscript"/>
          <w:lang w:bidi="en-US"/>
        </w:rPr>
        <w:footnoteReference w:id="24"/>
      </w:r>
      <w:r w:rsidR="00F67829" w:rsidRPr="00B12B0D">
        <w:rPr>
          <w:sz w:val="22"/>
          <w:szCs w:val="22"/>
          <w:lang w:bidi="en-US"/>
        </w:rPr>
        <w:t xml:space="preserve"> </w:t>
      </w:r>
      <w:r w:rsidR="00FF6416" w:rsidRPr="00B12B0D">
        <w:rPr>
          <w:sz w:val="22"/>
          <w:szCs w:val="22"/>
        </w:rPr>
        <w:t xml:space="preserve"> </w:t>
      </w:r>
    </w:p>
    <w:p w:rsidR="001B1CDA" w:rsidRPr="00B12B0D" w:rsidRDefault="001B1CDA" w:rsidP="000F623D">
      <w:pPr>
        <w:rPr>
          <w:sz w:val="22"/>
          <w:szCs w:val="22"/>
        </w:rPr>
      </w:pPr>
    </w:p>
    <w:p w:rsidR="00FF6416" w:rsidRPr="00B12B0D" w:rsidRDefault="001B1CDA" w:rsidP="000F623D">
      <w:pPr>
        <w:rPr>
          <w:sz w:val="22"/>
          <w:szCs w:val="22"/>
        </w:rPr>
      </w:pPr>
      <w:r w:rsidRPr="00B12B0D">
        <w:rPr>
          <w:sz w:val="22"/>
          <w:szCs w:val="22"/>
        </w:rPr>
        <w:t>W</w:t>
      </w:r>
      <w:r w:rsidR="00FF6416" w:rsidRPr="00B12B0D">
        <w:rPr>
          <w:sz w:val="22"/>
          <w:szCs w:val="22"/>
        </w:rPr>
        <w:t xml:space="preserve">e </w:t>
      </w:r>
      <w:r w:rsidRPr="00B12B0D">
        <w:rPr>
          <w:sz w:val="22"/>
          <w:szCs w:val="22"/>
        </w:rPr>
        <w:t xml:space="preserve">also ask </w:t>
      </w:r>
      <w:r w:rsidR="00FF6416" w:rsidRPr="00B12B0D">
        <w:rPr>
          <w:sz w:val="22"/>
          <w:szCs w:val="22"/>
        </w:rPr>
        <w:t xml:space="preserve">the Department not to make any blanket assumptions </w:t>
      </w:r>
      <w:r w:rsidRPr="00B12B0D">
        <w:rPr>
          <w:sz w:val="22"/>
          <w:szCs w:val="22"/>
        </w:rPr>
        <w:t xml:space="preserve">about the cost impact on state and local jurisdictions.  </w:t>
      </w:r>
      <w:r w:rsidR="00FF6416" w:rsidRPr="00B12B0D">
        <w:rPr>
          <w:sz w:val="22"/>
          <w:szCs w:val="22"/>
        </w:rPr>
        <w:t>While</w:t>
      </w:r>
      <w:r w:rsidRPr="00B12B0D">
        <w:rPr>
          <w:sz w:val="22"/>
          <w:szCs w:val="22"/>
        </w:rPr>
        <w:t xml:space="preserve"> the average costs of </w:t>
      </w:r>
      <w:r w:rsidR="00FF6416" w:rsidRPr="00B12B0D">
        <w:rPr>
          <w:sz w:val="22"/>
          <w:szCs w:val="22"/>
        </w:rPr>
        <w:t xml:space="preserve">housing youth in juvenile facilities </w:t>
      </w:r>
      <w:r w:rsidRPr="00B12B0D">
        <w:rPr>
          <w:sz w:val="22"/>
          <w:szCs w:val="22"/>
        </w:rPr>
        <w:t xml:space="preserve">are </w:t>
      </w:r>
      <w:r w:rsidR="00FF6416" w:rsidRPr="00B12B0D">
        <w:rPr>
          <w:sz w:val="22"/>
          <w:szCs w:val="22"/>
        </w:rPr>
        <w:t xml:space="preserve">higher than the </w:t>
      </w:r>
      <w:r w:rsidRPr="00B12B0D">
        <w:rPr>
          <w:sz w:val="22"/>
          <w:szCs w:val="22"/>
        </w:rPr>
        <w:t xml:space="preserve">average </w:t>
      </w:r>
      <w:r w:rsidR="00FF6416" w:rsidRPr="00B12B0D">
        <w:rPr>
          <w:sz w:val="22"/>
          <w:szCs w:val="22"/>
        </w:rPr>
        <w:t xml:space="preserve">costs of housing youth in adult facilities, </w:t>
      </w:r>
      <w:r w:rsidR="00AE2528" w:rsidRPr="00B12B0D">
        <w:rPr>
          <w:sz w:val="22"/>
          <w:szCs w:val="22"/>
        </w:rPr>
        <w:t xml:space="preserve">adult facilities that keep youth safe from abuse often house youth in specialized units (e.g., mental health unit) that may be comparable to housing youth in juvenile facilities.  </w:t>
      </w:r>
      <w:r w:rsidR="00FF6416" w:rsidRPr="00B12B0D">
        <w:rPr>
          <w:sz w:val="22"/>
          <w:szCs w:val="22"/>
        </w:rPr>
        <w:t xml:space="preserve">For example, in 2007, the Rhode Island legislature dropped the age of juvenile court jurisdiction from 18 to 17 in an effort to save money.  Yet the costs to keep youth safe in the adult facility skyrocketed and the legislature immediately reversed the change.  </w:t>
      </w:r>
    </w:p>
    <w:p w:rsidR="000A51DD" w:rsidRPr="00B12B0D" w:rsidRDefault="000A51DD" w:rsidP="000F623D">
      <w:pPr>
        <w:rPr>
          <w:sz w:val="22"/>
          <w:szCs w:val="22"/>
        </w:rPr>
      </w:pPr>
    </w:p>
    <w:p w:rsidR="002D28E3" w:rsidRPr="00B12B0D" w:rsidRDefault="00A556E8" w:rsidP="000F623D">
      <w:pPr>
        <w:rPr>
          <w:sz w:val="22"/>
          <w:szCs w:val="22"/>
        </w:rPr>
      </w:pPr>
      <w:r w:rsidRPr="00B12B0D">
        <w:rPr>
          <w:sz w:val="22"/>
          <w:szCs w:val="22"/>
        </w:rPr>
        <w:t>In conclusion, w</w:t>
      </w:r>
      <w:r w:rsidR="00B21EC5" w:rsidRPr="00B12B0D">
        <w:rPr>
          <w:sz w:val="22"/>
          <w:szCs w:val="22"/>
        </w:rPr>
        <w:t xml:space="preserve">e urge </w:t>
      </w:r>
      <w:r w:rsidR="00EA226F" w:rsidRPr="00B12B0D">
        <w:rPr>
          <w:sz w:val="22"/>
          <w:szCs w:val="22"/>
        </w:rPr>
        <w:t xml:space="preserve">the Department </w:t>
      </w:r>
      <w:r w:rsidR="00B21EC5" w:rsidRPr="00B12B0D">
        <w:rPr>
          <w:sz w:val="22"/>
          <w:szCs w:val="22"/>
        </w:rPr>
        <w:t xml:space="preserve">to </w:t>
      </w:r>
      <w:r w:rsidR="00577D84" w:rsidRPr="00B12B0D">
        <w:rPr>
          <w:sz w:val="22"/>
          <w:szCs w:val="22"/>
        </w:rPr>
        <w:t>swiftly promulgate a final rule with</w:t>
      </w:r>
      <w:r w:rsidR="00B21EC5" w:rsidRPr="00B12B0D">
        <w:rPr>
          <w:sz w:val="22"/>
          <w:szCs w:val="22"/>
        </w:rPr>
        <w:t xml:space="preserve"> our recommendations to ensure that all youth are protected from sexual abuse as was intended by</w:t>
      </w:r>
      <w:r w:rsidR="00EA226F" w:rsidRPr="00B12B0D">
        <w:rPr>
          <w:sz w:val="22"/>
          <w:szCs w:val="22"/>
        </w:rPr>
        <w:t xml:space="preserve"> Congress when it passed PREA</w:t>
      </w:r>
      <w:r w:rsidR="00577D84" w:rsidRPr="00B12B0D">
        <w:rPr>
          <w:sz w:val="22"/>
          <w:szCs w:val="22"/>
        </w:rPr>
        <w:t xml:space="preserve">. Every </w:t>
      </w:r>
      <w:r w:rsidR="00506FAF" w:rsidRPr="00B12B0D">
        <w:rPr>
          <w:sz w:val="22"/>
          <w:szCs w:val="22"/>
        </w:rPr>
        <w:t xml:space="preserve">day that youth remain in adult jails and prisons they are at great risk. </w:t>
      </w:r>
    </w:p>
    <w:p w:rsidR="002D28E3" w:rsidRPr="00B12B0D" w:rsidRDefault="002D28E3" w:rsidP="000F623D">
      <w:pPr>
        <w:rPr>
          <w:sz w:val="22"/>
          <w:szCs w:val="22"/>
        </w:rPr>
      </w:pPr>
    </w:p>
    <w:p w:rsidR="001A17A7" w:rsidRPr="00B12B0D" w:rsidRDefault="001A17A7" w:rsidP="000F623D">
      <w:pPr>
        <w:rPr>
          <w:sz w:val="22"/>
          <w:szCs w:val="22"/>
        </w:rPr>
      </w:pPr>
      <w:r w:rsidRPr="00B12B0D">
        <w:rPr>
          <w:sz w:val="22"/>
          <w:szCs w:val="22"/>
        </w:rPr>
        <w:lastRenderedPageBreak/>
        <w:t xml:space="preserve">For your convenience, we have </w:t>
      </w:r>
      <w:r w:rsidR="00DE2F52" w:rsidRPr="00B12B0D">
        <w:rPr>
          <w:sz w:val="22"/>
          <w:szCs w:val="22"/>
        </w:rPr>
        <w:t xml:space="preserve">included </w:t>
      </w:r>
      <w:r w:rsidRPr="00B12B0D">
        <w:rPr>
          <w:sz w:val="22"/>
          <w:szCs w:val="22"/>
        </w:rPr>
        <w:t xml:space="preserve">several attachments we hope will prove helpful as the Department considers our recommendations.  Attachment A provides a list of laws and policies that support our position.  Attachment B provides copies of </w:t>
      </w:r>
      <w:r w:rsidR="00947274" w:rsidRPr="00B12B0D">
        <w:rPr>
          <w:sz w:val="22"/>
          <w:szCs w:val="22"/>
        </w:rPr>
        <w:t xml:space="preserve">relevant </w:t>
      </w:r>
      <w:r w:rsidRPr="00B12B0D">
        <w:rPr>
          <w:sz w:val="22"/>
          <w:szCs w:val="22"/>
        </w:rPr>
        <w:t xml:space="preserve">testimony </w:t>
      </w:r>
      <w:r w:rsidR="00F67829" w:rsidRPr="00B12B0D">
        <w:rPr>
          <w:sz w:val="22"/>
          <w:szCs w:val="22"/>
        </w:rPr>
        <w:t xml:space="preserve">before Congress and the National Prison Rape Elimination Commission </w:t>
      </w:r>
      <w:r w:rsidR="00947274" w:rsidRPr="00B12B0D">
        <w:rPr>
          <w:sz w:val="22"/>
          <w:szCs w:val="22"/>
        </w:rPr>
        <w:t>regarding the dangers posed by incarcerating youth in adult facilities</w:t>
      </w:r>
      <w:r w:rsidRPr="00B12B0D">
        <w:rPr>
          <w:sz w:val="22"/>
          <w:szCs w:val="22"/>
        </w:rPr>
        <w:t xml:space="preserve">.  </w:t>
      </w:r>
      <w:r w:rsidR="000B5D8B" w:rsidRPr="00B12B0D">
        <w:rPr>
          <w:sz w:val="22"/>
          <w:szCs w:val="22"/>
        </w:rPr>
        <w:t xml:space="preserve">Attachment C is a copy of a recent report by the Campaign for Youth Justice </w:t>
      </w:r>
      <w:r w:rsidR="00E53384" w:rsidRPr="00B12B0D">
        <w:rPr>
          <w:sz w:val="22"/>
          <w:szCs w:val="22"/>
        </w:rPr>
        <w:t>illustrat</w:t>
      </w:r>
      <w:r w:rsidR="000B5D8B" w:rsidRPr="00B12B0D">
        <w:rPr>
          <w:sz w:val="22"/>
          <w:szCs w:val="22"/>
        </w:rPr>
        <w:t xml:space="preserve">ing </w:t>
      </w:r>
      <w:r w:rsidR="004A351B" w:rsidRPr="00B12B0D">
        <w:rPr>
          <w:sz w:val="22"/>
          <w:szCs w:val="22"/>
        </w:rPr>
        <w:t xml:space="preserve">recent </w:t>
      </w:r>
      <w:r w:rsidR="000B5D8B" w:rsidRPr="00B12B0D">
        <w:rPr>
          <w:sz w:val="22"/>
          <w:szCs w:val="22"/>
        </w:rPr>
        <w:t xml:space="preserve">state trends removing youth from adult facilities.  </w:t>
      </w:r>
      <w:r w:rsidRPr="00B12B0D">
        <w:rPr>
          <w:sz w:val="22"/>
          <w:szCs w:val="22"/>
        </w:rPr>
        <w:t>Finally, i</w:t>
      </w:r>
      <w:r w:rsidRPr="00B12B0D">
        <w:rPr>
          <w:sz w:val="22"/>
          <w:szCs w:val="22"/>
          <w:lang w:bidi="en-US"/>
        </w:rPr>
        <w:t>n anticipation of concerns from juvenile correctional institutions that there may be a rare youth whose conduct in a juvenile facility is so extreme as to render a youth unmanageable</w:t>
      </w:r>
      <w:r w:rsidR="00B361B3">
        <w:rPr>
          <w:sz w:val="22"/>
          <w:szCs w:val="22"/>
          <w:lang w:bidi="en-US"/>
        </w:rPr>
        <w:t xml:space="preserve"> in a juvenile justice environment</w:t>
      </w:r>
      <w:r w:rsidRPr="00B12B0D">
        <w:rPr>
          <w:sz w:val="22"/>
          <w:szCs w:val="22"/>
          <w:lang w:bidi="en-US"/>
        </w:rPr>
        <w:t xml:space="preserve">, we have drafted language to accommodate those concerns in Attachment </w:t>
      </w:r>
      <w:r w:rsidR="00677E71" w:rsidRPr="00B12B0D">
        <w:rPr>
          <w:sz w:val="22"/>
          <w:szCs w:val="22"/>
          <w:lang w:bidi="en-US"/>
        </w:rPr>
        <w:t>D</w:t>
      </w:r>
      <w:r w:rsidRPr="00B12B0D">
        <w:rPr>
          <w:sz w:val="22"/>
          <w:szCs w:val="22"/>
          <w:lang w:bidi="en-US"/>
        </w:rPr>
        <w:t xml:space="preserve">.  </w:t>
      </w:r>
    </w:p>
    <w:p w:rsidR="009C601B" w:rsidRPr="00B12B0D" w:rsidRDefault="009C601B" w:rsidP="000F623D">
      <w:pPr>
        <w:rPr>
          <w:sz w:val="22"/>
          <w:szCs w:val="22"/>
          <w:lang w:bidi="en-US"/>
        </w:rPr>
      </w:pPr>
    </w:p>
    <w:p w:rsidR="009C601B" w:rsidRPr="00B12B0D" w:rsidRDefault="002C1A21" w:rsidP="000F623D">
      <w:pPr>
        <w:rPr>
          <w:sz w:val="22"/>
          <w:szCs w:val="22"/>
          <w:lang w:bidi="en-US"/>
        </w:rPr>
      </w:pPr>
      <w:r w:rsidRPr="00B12B0D">
        <w:rPr>
          <w:sz w:val="22"/>
          <w:szCs w:val="22"/>
        </w:rPr>
        <w:t>Thank you for your consideration.</w:t>
      </w:r>
      <w:r w:rsidR="00991373" w:rsidRPr="00B12B0D">
        <w:rPr>
          <w:sz w:val="22"/>
          <w:szCs w:val="22"/>
        </w:rPr>
        <w:t xml:space="preserve"> </w:t>
      </w:r>
      <w:r w:rsidR="009C601B" w:rsidRPr="00B12B0D">
        <w:rPr>
          <w:sz w:val="22"/>
          <w:szCs w:val="22"/>
          <w:lang w:bidi="en-US"/>
        </w:rPr>
        <w:t xml:space="preserve">Should you have </w:t>
      </w:r>
      <w:r w:rsidR="00F5289E" w:rsidRPr="00B12B0D">
        <w:rPr>
          <w:sz w:val="22"/>
          <w:szCs w:val="22"/>
          <w:lang w:bidi="en-US"/>
        </w:rPr>
        <w:t xml:space="preserve">any additional </w:t>
      </w:r>
      <w:r w:rsidR="009C601B" w:rsidRPr="00B12B0D">
        <w:rPr>
          <w:sz w:val="22"/>
          <w:szCs w:val="22"/>
          <w:lang w:bidi="en-US"/>
        </w:rPr>
        <w:t xml:space="preserve">questions, please feel free to contact Neelum Arya at the Campaign for Youth Justice, (202) 558-3580 or </w:t>
      </w:r>
      <w:hyperlink r:id="rId10" w:history="1">
        <w:r w:rsidR="009C601B" w:rsidRPr="00B12B0D">
          <w:rPr>
            <w:rStyle w:val="Hyperlink"/>
            <w:sz w:val="22"/>
            <w:szCs w:val="22"/>
            <w:lang w:bidi="en-US"/>
          </w:rPr>
          <w:t>narya@cfyj.org</w:t>
        </w:r>
      </w:hyperlink>
      <w:r w:rsidR="009C601B" w:rsidRPr="00B12B0D">
        <w:rPr>
          <w:sz w:val="22"/>
          <w:szCs w:val="22"/>
          <w:lang w:bidi="en-US"/>
        </w:rPr>
        <w:t xml:space="preserve">, or Dana Shoenberg at the Center for Children’s Law and Policy, 202-637-0377, x107 or </w:t>
      </w:r>
      <w:hyperlink r:id="rId11" w:history="1">
        <w:r w:rsidR="009C601B" w:rsidRPr="00B12B0D">
          <w:rPr>
            <w:rStyle w:val="Hyperlink"/>
            <w:sz w:val="22"/>
            <w:szCs w:val="22"/>
            <w:lang w:bidi="en-US"/>
          </w:rPr>
          <w:t>dshoenberg@cclp.org</w:t>
        </w:r>
      </w:hyperlink>
      <w:r w:rsidR="009C601B" w:rsidRPr="00B12B0D">
        <w:rPr>
          <w:sz w:val="22"/>
          <w:szCs w:val="22"/>
          <w:lang w:bidi="en-US"/>
        </w:rPr>
        <w:t xml:space="preserve">. </w:t>
      </w:r>
    </w:p>
    <w:p w:rsidR="00991373" w:rsidRPr="00B12B0D" w:rsidRDefault="00991373" w:rsidP="000F623D">
      <w:pPr>
        <w:rPr>
          <w:sz w:val="22"/>
          <w:szCs w:val="22"/>
        </w:rPr>
      </w:pPr>
    </w:p>
    <w:p w:rsidR="002C1A21" w:rsidRPr="00B12B0D" w:rsidRDefault="00991373" w:rsidP="000F623D">
      <w:pPr>
        <w:rPr>
          <w:sz w:val="22"/>
          <w:szCs w:val="22"/>
        </w:rPr>
      </w:pPr>
      <w:r w:rsidRPr="00B12B0D">
        <w:rPr>
          <w:sz w:val="22"/>
          <w:szCs w:val="22"/>
        </w:rPr>
        <w:t xml:space="preserve"> </w:t>
      </w:r>
      <w:r w:rsidR="002C1A21" w:rsidRPr="00B12B0D">
        <w:rPr>
          <w:sz w:val="22"/>
          <w:szCs w:val="22"/>
        </w:rPr>
        <w:t xml:space="preserve">Sincerely, </w:t>
      </w:r>
    </w:p>
    <w:p w:rsidR="002C1A21" w:rsidRPr="00B12B0D" w:rsidRDefault="002C1A21" w:rsidP="000F623D">
      <w:pPr>
        <w:rPr>
          <w:sz w:val="22"/>
          <w:szCs w:val="22"/>
        </w:rPr>
      </w:pPr>
    </w:p>
    <w:p w:rsidR="00FE4F34" w:rsidRDefault="002C1A21" w:rsidP="000F623D">
      <w:pPr>
        <w:rPr>
          <w:color w:val="FF0000"/>
          <w:sz w:val="22"/>
          <w:szCs w:val="22"/>
        </w:rPr>
      </w:pPr>
      <w:r w:rsidRPr="00FE4F34">
        <w:rPr>
          <w:color w:val="FF0000"/>
          <w:sz w:val="22"/>
          <w:szCs w:val="22"/>
        </w:rPr>
        <w:t>[</w:t>
      </w:r>
      <w:r w:rsidR="00BB44D2">
        <w:rPr>
          <w:color w:val="FF0000"/>
          <w:sz w:val="22"/>
          <w:szCs w:val="22"/>
        </w:rPr>
        <w:t xml:space="preserve">Complete </w:t>
      </w:r>
      <w:r w:rsidRPr="00FE4F34">
        <w:rPr>
          <w:color w:val="FF0000"/>
          <w:sz w:val="22"/>
          <w:szCs w:val="22"/>
        </w:rPr>
        <w:t>List of Organizations</w:t>
      </w:r>
      <w:r w:rsidR="00FE4F34" w:rsidRPr="00FE4F34">
        <w:rPr>
          <w:color w:val="FF0000"/>
          <w:sz w:val="22"/>
          <w:szCs w:val="22"/>
        </w:rPr>
        <w:t xml:space="preserve"> – National, State</w:t>
      </w:r>
      <w:r w:rsidRPr="00FE4F34">
        <w:rPr>
          <w:color w:val="FF0000"/>
          <w:sz w:val="22"/>
          <w:szCs w:val="22"/>
        </w:rPr>
        <w:t>]</w:t>
      </w:r>
    </w:p>
    <w:p w:rsidR="00BB44D2" w:rsidRDefault="00BB44D2" w:rsidP="000F623D">
      <w:pPr>
        <w:rPr>
          <w:color w:val="FF0000"/>
          <w:sz w:val="22"/>
          <w:szCs w:val="22"/>
        </w:rPr>
      </w:pPr>
    </w:p>
    <w:p w:rsidR="00BB44D2" w:rsidRDefault="00673B8D" w:rsidP="000F623D">
      <w:pPr>
        <w:rPr>
          <w:sz w:val="22"/>
          <w:szCs w:val="22"/>
        </w:rPr>
      </w:pPr>
      <w:r>
        <w:rPr>
          <w:sz w:val="22"/>
          <w:szCs w:val="22"/>
        </w:rPr>
        <w:t xml:space="preserve">Campaign for Youth Justice </w:t>
      </w:r>
    </w:p>
    <w:p w:rsidR="00615FF0" w:rsidRDefault="00615FF0" w:rsidP="000F623D">
      <w:pPr>
        <w:rPr>
          <w:sz w:val="22"/>
          <w:szCs w:val="22"/>
        </w:rPr>
      </w:pPr>
    </w:p>
    <w:p w:rsidR="00615FF0" w:rsidRDefault="00615FF0" w:rsidP="000F623D">
      <w:pPr>
        <w:rPr>
          <w:sz w:val="22"/>
          <w:szCs w:val="22"/>
        </w:rPr>
      </w:pPr>
      <w:r>
        <w:rPr>
          <w:sz w:val="22"/>
          <w:szCs w:val="22"/>
        </w:rPr>
        <w:t>Center for Children’s Law and Policy</w:t>
      </w:r>
    </w:p>
    <w:p w:rsidR="000068D2" w:rsidRDefault="000068D2" w:rsidP="000F623D">
      <w:pPr>
        <w:rPr>
          <w:sz w:val="22"/>
          <w:szCs w:val="22"/>
        </w:rPr>
      </w:pPr>
    </w:p>
    <w:p w:rsidR="002F672B" w:rsidRDefault="002F672B" w:rsidP="000F623D">
      <w:pPr>
        <w:rPr>
          <w:sz w:val="22"/>
          <w:szCs w:val="22"/>
        </w:rPr>
      </w:pPr>
      <w:r>
        <w:rPr>
          <w:sz w:val="22"/>
          <w:szCs w:val="22"/>
        </w:rPr>
        <w:t>Just Detention International</w:t>
      </w:r>
    </w:p>
    <w:p w:rsidR="00ED409F" w:rsidRDefault="00ED409F" w:rsidP="000F623D">
      <w:pPr>
        <w:rPr>
          <w:sz w:val="22"/>
          <w:szCs w:val="22"/>
        </w:rPr>
      </w:pPr>
    </w:p>
    <w:p w:rsidR="00ED409F" w:rsidRDefault="00ED409F" w:rsidP="000F623D">
      <w:pPr>
        <w:rPr>
          <w:sz w:val="22"/>
          <w:szCs w:val="22"/>
        </w:rPr>
      </w:pPr>
      <w:r w:rsidRPr="00ED409F">
        <w:rPr>
          <w:sz w:val="22"/>
          <w:szCs w:val="22"/>
        </w:rPr>
        <w:t>Loyola Law School Center for Juvenile Law and Policy</w:t>
      </w:r>
    </w:p>
    <w:p w:rsidR="002F672B" w:rsidRDefault="002F672B" w:rsidP="000F623D">
      <w:pPr>
        <w:rPr>
          <w:sz w:val="22"/>
          <w:szCs w:val="22"/>
        </w:rPr>
      </w:pPr>
    </w:p>
    <w:p w:rsidR="00E11E50" w:rsidRDefault="00E11E50" w:rsidP="000F623D">
      <w:pPr>
        <w:rPr>
          <w:sz w:val="22"/>
          <w:szCs w:val="22"/>
        </w:rPr>
      </w:pPr>
      <w:r w:rsidRPr="00E11E50">
        <w:rPr>
          <w:sz w:val="22"/>
          <w:szCs w:val="22"/>
        </w:rPr>
        <w:t>National Crittenton Foundation</w:t>
      </w:r>
    </w:p>
    <w:p w:rsidR="00E11E50" w:rsidRDefault="00E11E50" w:rsidP="000F623D">
      <w:pPr>
        <w:rPr>
          <w:sz w:val="22"/>
          <w:szCs w:val="22"/>
        </w:rPr>
      </w:pPr>
    </w:p>
    <w:p w:rsidR="002F672B" w:rsidRDefault="002F672B" w:rsidP="000F623D">
      <w:pPr>
        <w:rPr>
          <w:sz w:val="22"/>
          <w:szCs w:val="22"/>
        </w:rPr>
      </w:pPr>
      <w:r>
        <w:rPr>
          <w:sz w:val="22"/>
          <w:szCs w:val="22"/>
        </w:rPr>
        <w:t>National Juvenile Defender Center</w:t>
      </w:r>
    </w:p>
    <w:p w:rsidR="002F672B" w:rsidRDefault="002F672B" w:rsidP="000F623D">
      <w:pPr>
        <w:rPr>
          <w:sz w:val="22"/>
          <w:szCs w:val="22"/>
        </w:rPr>
      </w:pPr>
    </w:p>
    <w:p w:rsidR="00260B7C" w:rsidRDefault="00260B7C" w:rsidP="000F623D">
      <w:pPr>
        <w:rPr>
          <w:sz w:val="22"/>
          <w:szCs w:val="22"/>
        </w:rPr>
      </w:pPr>
      <w:r w:rsidRPr="00260B7C">
        <w:rPr>
          <w:sz w:val="22"/>
          <w:szCs w:val="22"/>
        </w:rPr>
        <w:t>R</w:t>
      </w:r>
      <w:r>
        <w:rPr>
          <w:sz w:val="22"/>
          <w:szCs w:val="22"/>
        </w:rPr>
        <w:t>ebecca Project for Human Rights</w:t>
      </w:r>
      <w:r w:rsidRPr="00260B7C">
        <w:rPr>
          <w:sz w:val="22"/>
          <w:szCs w:val="22"/>
        </w:rPr>
        <w:br/>
      </w:r>
    </w:p>
    <w:p w:rsidR="002F672B" w:rsidRPr="002F672B" w:rsidRDefault="002F672B" w:rsidP="002F672B">
      <w:pPr>
        <w:rPr>
          <w:sz w:val="22"/>
          <w:szCs w:val="22"/>
        </w:rPr>
      </w:pPr>
      <w:r w:rsidRPr="002F672B">
        <w:rPr>
          <w:sz w:val="22"/>
          <w:szCs w:val="22"/>
        </w:rPr>
        <w:t>Southern Poverty Law Center (SPLC)</w:t>
      </w:r>
    </w:p>
    <w:p w:rsidR="00FE4F34" w:rsidRDefault="00FE4F34" w:rsidP="000F623D">
      <w:pPr>
        <w:rPr>
          <w:sz w:val="22"/>
          <w:szCs w:val="22"/>
        </w:rPr>
      </w:pPr>
    </w:p>
    <w:p w:rsidR="00FE4F34" w:rsidRPr="00FE4F34" w:rsidRDefault="00FE4F34" w:rsidP="000F623D">
      <w:pPr>
        <w:rPr>
          <w:color w:val="FF0000"/>
          <w:sz w:val="22"/>
          <w:szCs w:val="22"/>
        </w:rPr>
      </w:pPr>
      <w:r w:rsidRPr="00FE4F34">
        <w:rPr>
          <w:color w:val="FF0000"/>
          <w:sz w:val="22"/>
          <w:szCs w:val="22"/>
        </w:rPr>
        <w:t>[</w:t>
      </w:r>
      <w:r w:rsidR="00BB44D2">
        <w:rPr>
          <w:color w:val="FF0000"/>
          <w:sz w:val="22"/>
          <w:szCs w:val="22"/>
        </w:rPr>
        <w:t xml:space="preserve">Complete </w:t>
      </w:r>
      <w:r w:rsidRPr="00FE4F34">
        <w:rPr>
          <w:color w:val="FF0000"/>
          <w:sz w:val="22"/>
          <w:szCs w:val="22"/>
        </w:rPr>
        <w:t>List of Individuals]</w:t>
      </w:r>
    </w:p>
    <w:p w:rsidR="00FE4F34" w:rsidRDefault="00FE4F34" w:rsidP="000F623D">
      <w:pPr>
        <w:rPr>
          <w:sz w:val="22"/>
          <w:szCs w:val="22"/>
        </w:rPr>
      </w:pPr>
    </w:p>
    <w:p w:rsidR="00F22084" w:rsidRPr="00F22084" w:rsidRDefault="00F22084" w:rsidP="00F22084">
      <w:pPr>
        <w:rPr>
          <w:sz w:val="22"/>
          <w:szCs w:val="22"/>
        </w:rPr>
      </w:pPr>
      <w:r w:rsidRPr="00F22084">
        <w:rPr>
          <w:sz w:val="22"/>
          <w:szCs w:val="22"/>
        </w:rPr>
        <w:t>Jeffrey A. Butts, Ph.D.</w:t>
      </w:r>
    </w:p>
    <w:p w:rsidR="00F22084" w:rsidRPr="00F22084" w:rsidRDefault="00F22084" w:rsidP="00F22084">
      <w:pPr>
        <w:rPr>
          <w:sz w:val="22"/>
          <w:szCs w:val="22"/>
        </w:rPr>
      </w:pPr>
    </w:p>
    <w:p w:rsidR="00F22084" w:rsidRPr="00F22084" w:rsidRDefault="00F22084" w:rsidP="00F22084">
      <w:pPr>
        <w:rPr>
          <w:sz w:val="22"/>
          <w:szCs w:val="22"/>
        </w:rPr>
      </w:pPr>
      <w:r w:rsidRPr="00F22084">
        <w:rPr>
          <w:sz w:val="22"/>
          <w:szCs w:val="22"/>
        </w:rPr>
        <w:t>Todd R. Clear, Ph.D., Dean, Rutgers University</w:t>
      </w:r>
    </w:p>
    <w:p w:rsidR="00F22084" w:rsidRPr="00F22084" w:rsidRDefault="00F22084" w:rsidP="00F22084">
      <w:pPr>
        <w:rPr>
          <w:sz w:val="22"/>
          <w:szCs w:val="22"/>
        </w:rPr>
      </w:pPr>
    </w:p>
    <w:p w:rsidR="00F22084" w:rsidRPr="00F22084" w:rsidRDefault="00F22084" w:rsidP="00F22084">
      <w:pPr>
        <w:rPr>
          <w:sz w:val="22"/>
          <w:szCs w:val="22"/>
        </w:rPr>
      </w:pPr>
      <w:r w:rsidRPr="00F22084">
        <w:rPr>
          <w:sz w:val="22"/>
          <w:szCs w:val="22"/>
        </w:rPr>
        <w:t>The Honorable H. Ted Rubin (retired), Denver Juvenile Court</w:t>
      </w:r>
    </w:p>
    <w:p w:rsidR="00F22084" w:rsidRPr="00F22084" w:rsidRDefault="00F22084" w:rsidP="00F22084">
      <w:pPr>
        <w:rPr>
          <w:sz w:val="22"/>
          <w:szCs w:val="22"/>
        </w:rPr>
      </w:pPr>
    </w:p>
    <w:p w:rsidR="00F22084" w:rsidRPr="00F22084" w:rsidRDefault="00F22084" w:rsidP="00F22084">
      <w:pPr>
        <w:rPr>
          <w:sz w:val="22"/>
          <w:szCs w:val="22"/>
        </w:rPr>
      </w:pPr>
      <w:r w:rsidRPr="00F22084">
        <w:rPr>
          <w:sz w:val="22"/>
          <w:szCs w:val="22"/>
        </w:rPr>
        <w:t>Jennifer Woolard, Ph.D., Associate Professor of Psychology, Georgetown University</w:t>
      </w:r>
    </w:p>
    <w:p w:rsidR="00FE4F34" w:rsidRDefault="00FE4F34" w:rsidP="000F623D">
      <w:pPr>
        <w:rPr>
          <w:sz w:val="22"/>
          <w:szCs w:val="22"/>
        </w:rPr>
      </w:pPr>
    </w:p>
    <w:p w:rsidR="00F82011" w:rsidRPr="00B12B0D" w:rsidRDefault="00457DA7" w:rsidP="000F623D">
      <w:pPr>
        <w:rPr>
          <w:sz w:val="22"/>
          <w:szCs w:val="22"/>
        </w:rPr>
      </w:pPr>
      <w:r>
        <w:rPr>
          <w:sz w:val="22"/>
          <w:szCs w:val="22"/>
        </w:rPr>
        <w:t xml:space="preserve">Maureen Pacheco, J.D., </w:t>
      </w:r>
      <w:r w:rsidRPr="00457DA7">
        <w:rPr>
          <w:sz w:val="22"/>
          <w:szCs w:val="22"/>
          <w:lang w:val="en"/>
        </w:rPr>
        <w:t>Clinical Professor</w:t>
      </w:r>
      <w:r>
        <w:rPr>
          <w:sz w:val="22"/>
          <w:szCs w:val="22"/>
          <w:lang w:val="en"/>
        </w:rPr>
        <w:t>, Loyola Law School</w:t>
      </w:r>
      <w:r w:rsidR="00F82011" w:rsidRPr="00B12B0D">
        <w:rPr>
          <w:sz w:val="22"/>
          <w:szCs w:val="22"/>
        </w:rPr>
        <w:br w:type="page"/>
      </w:r>
    </w:p>
    <w:p w:rsidR="00FB7733" w:rsidRDefault="00B12B0D" w:rsidP="006F1BA4">
      <w:pPr>
        <w:jc w:val="center"/>
        <w:rPr>
          <w:b/>
          <w:sz w:val="22"/>
          <w:szCs w:val="22"/>
        </w:rPr>
      </w:pPr>
      <w:r w:rsidRPr="00B12B0D">
        <w:rPr>
          <w:b/>
          <w:sz w:val="22"/>
          <w:szCs w:val="22"/>
        </w:rPr>
        <w:lastRenderedPageBreak/>
        <w:t>Attachment A</w:t>
      </w:r>
    </w:p>
    <w:p w:rsidR="00FB7733" w:rsidRDefault="00FB7733" w:rsidP="006F1BA4">
      <w:pPr>
        <w:jc w:val="center"/>
        <w:rPr>
          <w:b/>
          <w:sz w:val="22"/>
          <w:szCs w:val="22"/>
        </w:rPr>
      </w:pPr>
    </w:p>
    <w:p w:rsidR="00B12B0D" w:rsidRPr="00B12B0D" w:rsidRDefault="00B12B0D" w:rsidP="006F1BA4">
      <w:pPr>
        <w:jc w:val="center"/>
        <w:rPr>
          <w:b/>
          <w:sz w:val="22"/>
          <w:szCs w:val="22"/>
        </w:rPr>
      </w:pPr>
      <w:r w:rsidRPr="00B12B0D">
        <w:rPr>
          <w:b/>
          <w:sz w:val="22"/>
          <w:szCs w:val="22"/>
        </w:rPr>
        <w:t>List of Supporting Laws, Standards, and Policies</w:t>
      </w:r>
    </w:p>
    <w:p w:rsidR="00B12B0D" w:rsidRPr="00B12B0D" w:rsidRDefault="00B12B0D" w:rsidP="000F623D">
      <w:pPr>
        <w:rPr>
          <w:b/>
          <w:sz w:val="22"/>
          <w:szCs w:val="22"/>
        </w:rPr>
      </w:pPr>
    </w:p>
    <w:p w:rsidR="00B12B0D" w:rsidRPr="00B12B0D" w:rsidRDefault="00B12B0D" w:rsidP="000F623D">
      <w:pPr>
        <w:rPr>
          <w:b/>
          <w:sz w:val="22"/>
          <w:szCs w:val="22"/>
        </w:rPr>
      </w:pPr>
    </w:p>
    <w:p w:rsidR="00B12B0D" w:rsidRPr="00B12B0D" w:rsidRDefault="00B12B0D" w:rsidP="000F623D">
      <w:pPr>
        <w:rPr>
          <w:b/>
          <w:sz w:val="22"/>
          <w:szCs w:val="22"/>
        </w:rPr>
      </w:pPr>
      <w:r w:rsidRPr="00B12B0D">
        <w:rPr>
          <w:b/>
          <w:sz w:val="22"/>
          <w:szCs w:val="22"/>
        </w:rPr>
        <w:t xml:space="preserve">Federal Law and Policies </w:t>
      </w:r>
    </w:p>
    <w:p w:rsidR="00B12B0D" w:rsidRPr="00B12B0D" w:rsidRDefault="00B12B0D" w:rsidP="000F623D">
      <w:pPr>
        <w:rPr>
          <w:b/>
          <w:sz w:val="22"/>
          <w:szCs w:val="22"/>
        </w:rPr>
      </w:pPr>
    </w:p>
    <w:p w:rsidR="00B12B0D" w:rsidRPr="00B12B0D" w:rsidRDefault="00B12B0D" w:rsidP="000F623D">
      <w:pPr>
        <w:pStyle w:val="ListParagraph"/>
        <w:numPr>
          <w:ilvl w:val="0"/>
          <w:numId w:val="29"/>
        </w:numPr>
        <w:spacing w:after="120"/>
        <w:contextualSpacing w:val="0"/>
        <w:rPr>
          <w:sz w:val="22"/>
          <w:szCs w:val="22"/>
        </w:rPr>
      </w:pPr>
      <w:r w:rsidRPr="00B12B0D">
        <w:rPr>
          <w:sz w:val="22"/>
          <w:szCs w:val="22"/>
        </w:rPr>
        <w:t>18 U.S.C. § 5039 (prohibiting placement of youth in federal custody in adult facilities)</w:t>
      </w:r>
    </w:p>
    <w:p w:rsidR="00B12B0D" w:rsidRPr="00B12B0D" w:rsidRDefault="00B12B0D" w:rsidP="000F623D">
      <w:pPr>
        <w:pStyle w:val="ListParagraph"/>
        <w:numPr>
          <w:ilvl w:val="0"/>
          <w:numId w:val="29"/>
        </w:numPr>
        <w:spacing w:after="120"/>
        <w:contextualSpacing w:val="0"/>
        <w:rPr>
          <w:sz w:val="22"/>
          <w:szCs w:val="22"/>
        </w:rPr>
      </w:pPr>
      <w:r w:rsidRPr="00B12B0D">
        <w:rPr>
          <w:sz w:val="22"/>
          <w:szCs w:val="22"/>
        </w:rPr>
        <w:t>42 U.S.C. § 5633 (a)(prohibiting the placement of youth in state and local custody in adult facilities in certain circumstances)</w:t>
      </w:r>
    </w:p>
    <w:p w:rsidR="00B12B0D" w:rsidRPr="00B12B0D" w:rsidRDefault="00B12B0D" w:rsidP="000F623D">
      <w:pPr>
        <w:pStyle w:val="ListParagraph"/>
        <w:numPr>
          <w:ilvl w:val="0"/>
          <w:numId w:val="29"/>
        </w:numPr>
        <w:spacing w:after="120"/>
        <w:contextualSpacing w:val="0"/>
        <w:rPr>
          <w:sz w:val="22"/>
          <w:szCs w:val="22"/>
        </w:rPr>
      </w:pPr>
      <w:r w:rsidRPr="00B12B0D">
        <w:rPr>
          <w:sz w:val="22"/>
          <w:szCs w:val="22"/>
        </w:rPr>
        <w:t>USDOJ, Federal Bureau of Prisons, Policy 5216.05 (prohibiting placement of youth in adult facilities)</w:t>
      </w:r>
    </w:p>
    <w:p w:rsidR="00B12B0D" w:rsidRPr="00B12B0D" w:rsidRDefault="00B12B0D" w:rsidP="000F623D">
      <w:pPr>
        <w:pStyle w:val="ListParagraph"/>
        <w:numPr>
          <w:ilvl w:val="0"/>
          <w:numId w:val="29"/>
        </w:numPr>
        <w:spacing w:after="120"/>
        <w:contextualSpacing w:val="0"/>
        <w:rPr>
          <w:sz w:val="22"/>
          <w:szCs w:val="22"/>
        </w:rPr>
      </w:pPr>
      <w:r w:rsidRPr="00B12B0D">
        <w:rPr>
          <w:sz w:val="22"/>
          <w:szCs w:val="22"/>
        </w:rPr>
        <w:t>USDOJ, Federal Standards for Prisons and Jails (1980)</w:t>
      </w:r>
    </w:p>
    <w:p w:rsidR="00B12B0D" w:rsidRPr="00B12B0D" w:rsidRDefault="00B12B0D" w:rsidP="000F623D">
      <w:pPr>
        <w:pStyle w:val="ListParagraph"/>
        <w:numPr>
          <w:ilvl w:val="0"/>
          <w:numId w:val="29"/>
        </w:numPr>
        <w:spacing w:after="120"/>
        <w:contextualSpacing w:val="0"/>
        <w:rPr>
          <w:sz w:val="22"/>
          <w:szCs w:val="22"/>
        </w:rPr>
      </w:pPr>
      <w:r w:rsidRPr="00B12B0D">
        <w:rPr>
          <w:sz w:val="22"/>
          <w:szCs w:val="22"/>
        </w:rPr>
        <w:t>USDOJ, Office of Juvenile Justice and Delinquency Prevention, Guidance Manual for Monitoring Facilities Under the Juvenile Justice and Delinquency Prevention Act of 1974, as amended (recommending that juveniles tried as adults be sight and sound separated from adult inmates)</w:t>
      </w:r>
    </w:p>
    <w:p w:rsidR="00B12B0D" w:rsidRPr="00B12B0D" w:rsidRDefault="00B12B0D" w:rsidP="000F623D">
      <w:pPr>
        <w:rPr>
          <w:b/>
          <w:sz w:val="22"/>
          <w:szCs w:val="22"/>
        </w:rPr>
      </w:pPr>
    </w:p>
    <w:p w:rsidR="00B12B0D" w:rsidRPr="00B12B0D" w:rsidRDefault="00B12B0D" w:rsidP="000F623D">
      <w:pPr>
        <w:rPr>
          <w:b/>
          <w:sz w:val="22"/>
          <w:szCs w:val="22"/>
        </w:rPr>
      </w:pPr>
      <w:r w:rsidRPr="00B12B0D">
        <w:rPr>
          <w:b/>
          <w:sz w:val="22"/>
          <w:szCs w:val="22"/>
        </w:rPr>
        <w:t xml:space="preserve">State Law and Policies </w:t>
      </w:r>
    </w:p>
    <w:p w:rsidR="00B12B0D" w:rsidRPr="00B12B0D" w:rsidRDefault="00B12B0D" w:rsidP="000F623D">
      <w:pPr>
        <w:rPr>
          <w:b/>
          <w:sz w:val="22"/>
          <w:szCs w:val="22"/>
        </w:rPr>
      </w:pPr>
    </w:p>
    <w:p w:rsidR="00B12B0D" w:rsidRPr="00B12B0D" w:rsidRDefault="00B12B0D" w:rsidP="000F623D">
      <w:pPr>
        <w:pStyle w:val="ListParagraph"/>
        <w:numPr>
          <w:ilvl w:val="0"/>
          <w:numId w:val="30"/>
        </w:numPr>
        <w:spacing w:after="120"/>
        <w:contextualSpacing w:val="0"/>
        <w:rPr>
          <w:sz w:val="22"/>
          <w:szCs w:val="22"/>
        </w:rPr>
      </w:pPr>
      <w:r w:rsidRPr="00B12B0D">
        <w:rPr>
          <w:sz w:val="22"/>
          <w:szCs w:val="22"/>
        </w:rPr>
        <w:t>California Welfare and Institutions Code §§207.1, 207.6</w:t>
      </w:r>
    </w:p>
    <w:p w:rsidR="00B12B0D" w:rsidRPr="00B12B0D" w:rsidRDefault="00B12B0D" w:rsidP="000F623D">
      <w:pPr>
        <w:pStyle w:val="ListParagraph"/>
        <w:numPr>
          <w:ilvl w:val="0"/>
          <w:numId w:val="30"/>
        </w:numPr>
        <w:spacing w:after="120"/>
        <w:contextualSpacing w:val="0"/>
        <w:rPr>
          <w:sz w:val="22"/>
          <w:szCs w:val="22"/>
        </w:rPr>
      </w:pPr>
      <w:r w:rsidRPr="00B12B0D">
        <w:rPr>
          <w:sz w:val="22"/>
          <w:szCs w:val="22"/>
        </w:rPr>
        <w:t>California Code of Regulations Title 15 §§ 1100 – 1163</w:t>
      </w:r>
    </w:p>
    <w:p w:rsidR="00B12B0D" w:rsidRPr="00B12B0D" w:rsidRDefault="00B12B0D" w:rsidP="000F623D">
      <w:pPr>
        <w:pStyle w:val="ListParagraph"/>
        <w:numPr>
          <w:ilvl w:val="0"/>
          <w:numId w:val="30"/>
        </w:numPr>
        <w:spacing w:after="120"/>
        <w:contextualSpacing w:val="0"/>
        <w:rPr>
          <w:sz w:val="22"/>
          <w:szCs w:val="22"/>
        </w:rPr>
      </w:pPr>
      <w:r w:rsidRPr="00B12B0D">
        <w:rPr>
          <w:sz w:val="22"/>
          <w:szCs w:val="22"/>
        </w:rPr>
        <w:t>California Memoranda of Understanding between California Department of Corrections and California Youth Authority (2004, 2001)</w:t>
      </w:r>
    </w:p>
    <w:p w:rsidR="00B12B0D" w:rsidRPr="00B12B0D" w:rsidRDefault="00B12B0D" w:rsidP="000F623D">
      <w:pPr>
        <w:pStyle w:val="ListParagraph"/>
        <w:numPr>
          <w:ilvl w:val="0"/>
          <w:numId w:val="30"/>
        </w:numPr>
        <w:spacing w:after="120"/>
        <w:contextualSpacing w:val="0"/>
        <w:rPr>
          <w:sz w:val="22"/>
          <w:szCs w:val="22"/>
        </w:rPr>
      </w:pPr>
      <w:r w:rsidRPr="00B12B0D">
        <w:rPr>
          <w:sz w:val="22"/>
          <w:szCs w:val="22"/>
        </w:rPr>
        <w:t>Georgia Board of Corrections Rule 125-4-8-.01</w:t>
      </w:r>
    </w:p>
    <w:p w:rsidR="00B12B0D" w:rsidRPr="00B12B0D" w:rsidRDefault="00B12B0D" w:rsidP="000F623D">
      <w:pPr>
        <w:pStyle w:val="ListParagraph"/>
        <w:numPr>
          <w:ilvl w:val="0"/>
          <w:numId w:val="30"/>
        </w:numPr>
        <w:spacing w:after="120"/>
        <w:contextualSpacing w:val="0"/>
        <w:rPr>
          <w:sz w:val="22"/>
          <w:szCs w:val="22"/>
        </w:rPr>
      </w:pPr>
      <w:r w:rsidRPr="00B12B0D">
        <w:rPr>
          <w:sz w:val="22"/>
          <w:szCs w:val="22"/>
        </w:rPr>
        <w:t>Hawaii Revised Statutes 352-28</w:t>
      </w:r>
    </w:p>
    <w:p w:rsidR="00B12B0D" w:rsidRPr="00B12B0D" w:rsidRDefault="00B12B0D" w:rsidP="000F623D">
      <w:pPr>
        <w:pStyle w:val="ListParagraph"/>
        <w:numPr>
          <w:ilvl w:val="0"/>
          <w:numId w:val="30"/>
        </w:numPr>
        <w:spacing w:after="120"/>
        <w:contextualSpacing w:val="0"/>
        <w:rPr>
          <w:sz w:val="22"/>
          <w:szCs w:val="22"/>
        </w:rPr>
      </w:pPr>
      <w:r w:rsidRPr="00B12B0D">
        <w:rPr>
          <w:sz w:val="22"/>
          <w:szCs w:val="22"/>
        </w:rPr>
        <w:t>Hawaii Department of Public Safety Policy No. Cor. 14.07</w:t>
      </w:r>
    </w:p>
    <w:p w:rsidR="00B12B0D" w:rsidRPr="00B12B0D" w:rsidRDefault="00B12B0D" w:rsidP="000F623D">
      <w:pPr>
        <w:pStyle w:val="ListParagraph"/>
        <w:numPr>
          <w:ilvl w:val="0"/>
          <w:numId w:val="30"/>
        </w:numPr>
        <w:spacing w:after="120"/>
        <w:contextualSpacing w:val="0"/>
        <w:rPr>
          <w:sz w:val="22"/>
          <w:szCs w:val="22"/>
        </w:rPr>
      </w:pPr>
      <w:r w:rsidRPr="00B12B0D">
        <w:rPr>
          <w:sz w:val="22"/>
          <w:szCs w:val="22"/>
        </w:rPr>
        <w:t>Kentucky Revised Statutes 640.070</w:t>
      </w:r>
    </w:p>
    <w:p w:rsidR="00B12B0D" w:rsidRPr="00B12B0D" w:rsidRDefault="00B12B0D" w:rsidP="000F623D">
      <w:pPr>
        <w:pStyle w:val="ListParagraph"/>
        <w:numPr>
          <w:ilvl w:val="0"/>
          <w:numId w:val="30"/>
        </w:numPr>
        <w:spacing w:after="120"/>
        <w:contextualSpacing w:val="0"/>
        <w:rPr>
          <w:sz w:val="22"/>
          <w:szCs w:val="22"/>
        </w:rPr>
      </w:pPr>
      <w:r w:rsidRPr="00B12B0D">
        <w:rPr>
          <w:sz w:val="22"/>
          <w:szCs w:val="22"/>
        </w:rPr>
        <w:t>Kentucky Department of Juvenile Justice Policy and Procedures Policy Number DJJ 352</w:t>
      </w:r>
    </w:p>
    <w:p w:rsidR="00B12B0D" w:rsidRPr="00B12B0D" w:rsidRDefault="00B12B0D" w:rsidP="000F623D">
      <w:pPr>
        <w:pStyle w:val="ListParagraph"/>
        <w:numPr>
          <w:ilvl w:val="0"/>
          <w:numId w:val="30"/>
        </w:numPr>
        <w:spacing w:after="120"/>
        <w:contextualSpacing w:val="0"/>
        <w:rPr>
          <w:sz w:val="22"/>
          <w:szCs w:val="22"/>
        </w:rPr>
      </w:pPr>
      <w:r w:rsidRPr="00B12B0D">
        <w:rPr>
          <w:sz w:val="22"/>
          <w:szCs w:val="22"/>
        </w:rPr>
        <w:t>Maine Department of Corrections Title 15 §3202-A (7)</w:t>
      </w:r>
    </w:p>
    <w:p w:rsidR="00B12B0D" w:rsidRPr="00B12B0D" w:rsidRDefault="00B12B0D" w:rsidP="000F623D">
      <w:pPr>
        <w:pStyle w:val="ListParagraph"/>
        <w:numPr>
          <w:ilvl w:val="0"/>
          <w:numId w:val="30"/>
        </w:numPr>
        <w:spacing w:after="120"/>
        <w:contextualSpacing w:val="0"/>
        <w:rPr>
          <w:sz w:val="22"/>
          <w:szCs w:val="22"/>
        </w:rPr>
      </w:pPr>
      <w:r w:rsidRPr="00B12B0D">
        <w:rPr>
          <w:sz w:val="22"/>
          <w:szCs w:val="22"/>
        </w:rPr>
        <w:t>New Jersey Statutes §§ 10A:31-28.1, 2A: 4A - 36</w:t>
      </w:r>
    </w:p>
    <w:p w:rsidR="00B12B0D" w:rsidRPr="00B12B0D" w:rsidRDefault="00B12B0D" w:rsidP="000F623D">
      <w:pPr>
        <w:rPr>
          <w:b/>
          <w:sz w:val="22"/>
          <w:szCs w:val="22"/>
        </w:rPr>
      </w:pPr>
    </w:p>
    <w:p w:rsidR="00B12B0D" w:rsidRPr="00B12B0D" w:rsidRDefault="00B12B0D" w:rsidP="000F623D">
      <w:pPr>
        <w:rPr>
          <w:b/>
          <w:sz w:val="22"/>
          <w:szCs w:val="22"/>
        </w:rPr>
      </w:pPr>
      <w:r w:rsidRPr="00B12B0D">
        <w:rPr>
          <w:b/>
          <w:sz w:val="22"/>
          <w:szCs w:val="22"/>
        </w:rPr>
        <w:t>Professional Standards</w:t>
      </w:r>
    </w:p>
    <w:p w:rsidR="00B12B0D" w:rsidRPr="00B12B0D" w:rsidRDefault="00B12B0D" w:rsidP="000F623D">
      <w:pPr>
        <w:rPr>
          <w:b/>
          <w:sz w:val="22"/>
          <w:szCs w:val="22"/>
        </w:rPr>
      </w:pPr>
    </w:p>
    <w:p w:rsidR="00B12B0D" w:rsidRPr="00B12B0D" w:rsidRDefault="00B12B0D" w:rsidP="000F623D">
      <w:pPr>
        <w:pStyle w:val="ListParagraph"/>
        <w:numPr>
          <w:ilvl w:val="0"/>
          <w:numId w:val="31"/>
        </w:numPr>
        <w:spacing w:after="120"/>
        <w:contextualSpacing w:val="0"/>
        <w:rPr>
          <w:sz w:val="22"/>
          <w:szCs w:val="22"/>
        </w:rPr>
      </w:pPr>
      <w:r w:rsidRPr="00B12B0D">
        <w:rPr>
          <w:sz w:val="22"/>
          <w:szCs w:val="22"/>
        </w:rPr>
        <w:t>ABA Standards for Criminal Justice: Treatment of Prisoners (3</w:t>
      </w:r>
      <w:r w:rsidRPr="00B12B0D">
        <w:rPr>
          <w:sz w:val="22"/>
          <w:szCs w:val="22"/>
          <w:vertAlign w:val="superscript"/>
        </w:rPr>
        <w:t>rd</w:t>
      </w:r>
      <w:r w:rsidRPr="00B12B0D">
        <w:rPr>
          <w:sz w:val="22"/>
          <w:szCs w:val="22"/>
        </w:rPr>
        <w:t xml:space="preserve"> edition)(2010) Standard 23-3.2 (b) </w:t>
      </w:r>
    </w:p>
    <w:p w:rsidR="00B12B0D" w:rsidRPr="00B12B0D" w:rsidRDefault="00B12B0D" w:rsidP="000F623D">
      <w:pPr>
        <w:pStyle w:val="ListParagraph"/>
        <w:numPr>
          <w:ilvl w:val="0"/>
          <w:numId w:val="31"/>
        </w:numPr>
        <w:spacing w:after="120"/>
        <w:contextualSpacing w:val="0"/>
        <w:rPr>
          <w:sz w:val="22"/>
          <w:szCs w:val="22"/>
        </w:rPr>
      </w:pPr>
      <w:r w:rsidRPr="00B12B0D">
        <w:rPr>
          <w:sz w:val="22"/>
          <w:szCs w:val="22"/>
        </w:rPr>
        <w:t>ACA Adult Correctional Institutions (4</w:t>
      </w:r>
      <w:r w:rsidRPr="00B12B0D">
        <w:rPr>
          <w:sz w:val="22"/>
          <w:szCs w:val="22"/>
          <w:vertAlign w:val="superscript"/>
        </w:rPr>
        <w:t>th</w:t>
      </w:r>
      <w:r w:rsidRPr="00B12B0D">
        <w:rPr>
          <w:sz w:val="22"/>
          <w:szCs w:val="22"/>
        </w:rPr>
        <w:t xml:space="preserve"> edition, 2003), 4-4306</w:t>
      </w:r>
    </w:p>
    <w:p w:rsidR="00B12B0D" w:rsidRPr="00B12B0D" w:rsidRDefault="00B12B0D" w:rsidP="000F623D">
      <w:pPr>
        <w:pStyle w:val="ListParagraph"/>
        <w:numPr>
          <w:ilvl w:val="0"/>
          <w:numId w:val="31"/>
        </w:numPr>
        <w:spacing w:after="120"/>
        <w:contextualSpacing w:val="0"/>
        <w:rPr>
          <w:sz w:val="22"/>
          <w:szCs w:val="22"/>
        </w:rPr>
      </w:pPr>
      <w:r w:rsidRPr="00B12B0D">
        <w:rPr>
          <w:sz w:val="22"/>
          <w:szCs w:val="22"/>
        </w:rPr>
        <w:t>ACA Adult Correctional Institutions (4</w:t>
      </w:r>
      <w:r w:rsidRPr="00B12B0D">
        <w:rPr>
          <w:sz w:val="22"/>
          <w:szCs w:val="22"/>
          <w:vertAlign w:val="superscript"/>
        </w:rPr>
        <w:t>th</w:t>
      </w:r>
      <w:r w:rsidRPr="00B12B0D">
        <w:rPr>
          <w:sz w:val="22"/>
          <w:szCs w:val="22"/>
        </w:rPr>
        <w:t xml:space="preserve"> edition, 2003), 4-4307</w:t>
      </w:r>
    </w:p>
    <w:p w:rsidR="00B12B0D" w:rsidRPr="00B12B0D" w:rsidRDefault="00B12B0D" w:rsidP="000F623D">
      <w:pPr>
        <w:pStyle w:val="ListParagraph"/>
        <w:numPr>
          <w:ilvl w:val="0"/>
          <w:numId w:val="31"/>
        </w:numPr>
        <w:spacing w:after="120"/>
        <w:contextualSpacing w:val="0"/>
        <w:rPr>
          <w:sz w:val="22"/>
          <w:szCs w:val="22"/>
        </w:rPr>
      </w:pPr>
      <w:r w:rsidRPr="00B12B0D">
        <w:rPr>
          <w:sz w:val="22"/>
          <w:szCs w:val="22"/>
        </w:rPr>
        <w:t>ACA Adult Correctional Institutions (4</w:t>
      </w:r>
      <w:r w:rsidRPr="00B12B0D">
        <w:rPr>
          <w:sz w:val="22"/>
          <w:szCs w:val="22"/>
          <w:vertAlign w:val="superscript"/>
        </w:rPr>
        <w:t>th</w:t>
      </w:r>
      <w:r w:rsidRPr="00B12B0D">
        <w:rPr>
          <w:sz w:val="22"/>
          <w:szCs w:val="22"/>
        </w:rPr>
        <w:t xml:space="preserve"> edition, 2003), 4-4308</w:t>
      </w:r>
    </w:p>
    <w:p w:rsidR="00B12B0D" w:rsidRPr="00B12B0D" w:rsidRDefault="00B12B0D" w:rsidP="000F623D">
      <w:pPr>
        <w:pStyle w:val="ListParagraph"/>
        <w:numPr>
          <w:ilvl w:val="0"/>
          <w:numId w:val="31"/>
        </w:numPr>
        <w:spacing w:after="120"/>
        <w:contextualSpacing w:val="0"/>
        <w:rPr>
          <w:sz w:val="22"/>
          <w:szCs w:val="22"/>
        </w:rPr>
      </w:pPr>
      <w:r w:rsidRPr="00B12B0D">
        <w:rPr>
          <w:sz w:val="22"/>
          <w:szCs w:val="22"/>
        </w:rPr>
        <w:t>ACA Adult Correctional Institutions (4</w:t>
      </w:r>
      <w:r w:rsidRPr="00B12B0D">
        <w:rPr>
          <w:sz w:val="22"/>
          <w:szCs w:val="22"/>
          <w:vertAlign w:val="superscript"/>
        </w:rPr>
        <w:t>th</w:t>
      </w:r>
      <w:r w:rsidRPr="00B12B0D">
        <w:rPr>
          <w:sz w:val="22"/>
          <w:szCs w:val="22"/>
        </w:rPr>
        <w:t xml:space="preserve"> edition, 2003), 4-4309</w:t>
      </w:r>
    </w:p>
    <w:p w:rsidR="00B12B0D" w:rsidRPr="00B12B0D" w:rsidRDefault="00B12B0D" w:rsidP="000F623D">
      <w:pPr>
        <w:pStyle w:val="ListParagraph"/>
        <w:numPr>
          <w:ilvl w:val="0"/>
          <w:numId w:val="31"/>
        </w:numPr>
        <w:spacing w:after="120"/>
        <w:contextualSpacing w:val="0"/>
        <w:rPr>
          <w:sz w:val="22"/>
          <w:szCs w:val="22"/>
        </w:rPr>
      </w:pPr>
      <w:r w:rsidRPr="00B12B0D">
        <w:rPr>
          <w:sz w:val="22"/>
          <w:szCs w:val="22"/>
        </w:rPr>
        <w:lastRenderedPageBreak/>
        <w:t>ACA Adult Correctional Institutions (4</w:t>
      </w:r>
      <w:r w:rsidRPr="00B12B0D">
        <w:rPr>
          <w:sz w:val="22"/>
          <w:szCs w:val="22"/>
          <w:vertAlign w:val="superscript"/>
        </w:rPr>
        <w:t>th</w:t>
      </w:r>
      <w:r w:rsidRPr="00B12B0D">
        <w:rPr>
          <w:sz w:val="22"/>
          <w:szCs w:val="22"/>
        </w:rPr>
        <w:t xml:space="preserve"> edition, 2003), 4-4310</w:t>
      </w:r>
    </w:p>
    <w:p w:rsidR="00B12B0D" w:rsidRPr="00B12B0D" w:rsidRDefault="00B12B0D" w:rsidP="000F623D">
      <w:pPr>
        <w:pStyle w:val="ListParagraph"/>
        <w:numPr>
          <w:ilvl w:val="0"/>
          <w:numId w:val="31"/>
        </w:numPr>
        <w:spacing w:after="120"/>
        <w:contextualSpacing w:val="0"/>
        <w:rPr>
          <w:sz w:val="22"/>
          <w:szCs w:val="22"/>
        </w:rPr>
      </w:pPr>
      <w:r w:rsidRPr="00B12B0D">
        <w:rPr>
          <w:sz w:val="22"/>
          <w:szCs w:val="22"/>
        </w:rPr>
        <w:t>ACA Adult Correctional Institutions (4</w:t>
      </w:r>
      <w:r w:rsidRPr="00B12B0D">
        <w:rPr>
          <w:sz w:val="22"/>
          <w:szCs w:val="22"/>
          <w:vertAlign w:val="superscript"/>
        </w:rPr>
        <w:t>th</w:t>
      </w:r>
      <w:r w:rsidRPr="00B12B0D">
        <w:rPr>
          <w:sz w:val="22"/>
          <w:szCs w:val="22"/>
        </w:rPr>
        <w:t xml:space="preserve"> edition, 2003), 4-4311</w:t>
      </w:r>
    </w:p>
    <w:p w:rsidR="00B12B0D" w:rsidRPr="00B12B0D" w:rsidRDefault="00B12B0D" w:rsidP="000F623D">
      <w:pPr>
        <w:pStyle w:val="ListParagraph"/>
        <w:numPr>
          <w:ilvl w:val="0"/>
          <w:numId w:val="31"/>
        </w:numPr>
        <w:spacing w:after="120"/>
        <w:contextualSpacing w:val="0"/>
        <w:rPr>
          <w:sz w:val="22"/>
          <w:szCs w:val="22"/>
        </w:rPr>
      </w:pPr>
      <w:r w:rsidRPr="00B12B0D">
        <w:rPr>
          <w:sz w:val="22"/>
          <w:szCs w:val="22"/>
        </w:rPr>
        <w:t>ACA Adult Correctional Institutions (4</w:t>
      </w:r>
      <w:r w:rsidRPr="00B12B0D">
        <w:rPr>
          <w:sz w:val="22"/>
          <w:szCs w:val="22"/>
          <w:vertAlign w:val="superscript"/>
        </w:rPr>
        <w:t>th</w:t>
      </w:r>
      <w:r w:rsidRPr="00B12B0D">
        <w:rPr>
          <w:sz w:val="22"/>
          <w:szCs w:val="22"/>
        </w:rPr>
        <w:t xml:space="preserve"> edition, 2003), 4-4312</w:t>
      </w:r>
    </w:p>
    <w:p w:rsidR="00B12B0D" w:rsidRPr="00B12B0D" w:rsidRDefault="00B12B0D" w:rsidP="000F623D">
      <w:pPr>
        <w:pStyle w:val="ListParagraph"/>
        <w:numPr>
          <w:ilvl w:val="0"/>
          <w:numId w:val="31"/>
        </w:numPr>
        <w:spacing w:after="120"/>
        <w:contextualSpacing w:val="0"/>
        <w:rPr>
          <w:sz w:val="22"/>
          <w:szCs w:val="22"/>
        </w:rPr>
      </w:pPr>
      <w:r w:rsidRPr="00B12B0D">
        <w:rPr>
          <w:sz w:val="22"/>
          <w:szCs w:val="22"/>
        </w:rPr>
        <w:t>ACA Core Jail Standards (1</w:t>
      </w:r>
      <w:r w:rsidRPr="00B12B0D">
        <w:rPr>
          <w:sz w:val="22"/>
          <w:szCs w:val="22"/>
          <w:vertAlign w:val="superscript"/>
        </w:rPr>
        <w:t>st</w:t>
      </w:r>
      <w:r w:rsidRPr="00B12B0D">
        <w:rPr>
          <w:sz w:val="22"/>
          <w:szCs w:val="22"/>
        </w:rPr>
        <w:t xml:space="preserve"> edition, 2010),  l-CORE-2A-19 </w:t>
      </w:r>
    </w:p>
    <w:p w:rsidR="00B12B0D" w:rsidRPr="00B12B0D" w:rsidRDefault="00B12B0D" w:rsidP="000F623D">
      <w:pPr>
        <w:pStyle w:val="ListParagraph"/>
        <w:numPr>
          <w:ilvl w:val="0"/>
          <w:numId w:val="31"/>
        </w:numPr>
        <w:spacing w:after="120"/>
        <w:contextualSpacing w:val="0"/>
        <w:rPr>
          <w:sz w:val="22"/>
          <w:szCs w:val="22"/>
        </w:rPr>
      </w:pPr>
      <w:r w:rsidRPr="00B12B0D">
        <w:rPr>
          <w:sz w:val="22"/>
          <w:szCs w:val="22"/>
        </w:rPr>
        <w:t>ACA Core Jail Standards (1</w:t>
      </w:r>
      <w:r w:rsidRPr="00B12B0D">
        <w:rPr>
          <w:sz w:val="22"/>
          <w:szCs w:val="22"/>
          <w:vertAlign w:val="superscript"/>
        </w:rPr>
        <w:t>st</w:t>
      </w:r>
      <w:r w:rsidRPr="00B12B0D">
        <w:rPr>
          <w:sz w:val="22"/>
          <w:szCs w:val="22"/>
        </w:rPr>
        <w:t xml:space="preserve"> edition, 2010),  l-CORE-2A-20  </w:t>
      </w:r>
    </w:p>
    <w:p w:rsidR="00B12B0D" w:rsidRPr="00B12B0D" w:rsidRDefault="00B12B0D" w:rsidP="000F623D">
      <w:pPr>
        <w:pStyle w:val="ListParagraph"/>
        <w:numPr>
          <w:ilvl w:val="0"/>
          <w:numId w:val="31"/>
        </w:numPr>
        <w:spacing w:after="120"/>
        <w:contextualSpacing w:val="0"/>
        <w:rPr>
          <w:sz w:val="22"/>
          <w:szCs w:val="22"/>
        </w:rPr>
      </w:pPr>
      <w:r w:rsidRPr="00B12B0D">
        <w:rPr>
          <w:sz w:val="22"/>
          <w:szCs w:val="22"/>
        </w:rPr>
        <w:t>ACA Juvenile Detention Standards (3rd edition, 1991), 3-JDF-3E-04</w:t>
      </w:r>
    </w:p>
    <w:p w:rsidR="00E86FB8" w:rsidRDefault="00E86FB8" w:rsidP="000F623D">
      <w:pPr>
        <w:rPr>
          <w:b/>
          <w:sz w:val="22"/>
          <w:szCs w:val="22"/>
        </w:rPr>
      </w:pPr>
    </w:p>
    <w:p w:rsidR="00B12B0D" w:rsidRPr="00B12B0D" w:rsidRDefault="00B12B0D" w:rsidP="000F623D">
      <w:pPr>
        <w:rPr>
          <w:b/>
          <w:sz w:val="22"/>
          <w:szCs w:val="22"/>
        </w:rPr>
      </w:pPr>
      <w:r w:rsidRPr="00B12B0D">
        <w:rPr>
          <w:b/>
          <w:sz w:val="22"/>
          <w:szCs w:val="22"/>
        </w:rPr>
        <w:t>Policy Statements</w:t>
      </w:r>
    </w:p>
    <w:p w:rsidR="00B12B0D" w:rsidRPr="00B12B0D" w:rsidRDefault="00B12B0D" w:rsidP="000F623D">
      <w:pPr>
        <w:rPr>
          <w:b/>
          <w:sz w:val="22"/>
          <w:szCs w:val="22"/>
        </w:rPr>
      </w:pP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American Academy of Child and Adolescent Psychiatry, Recommendations for Juvenile Justice Reform, Second Edition (2005)</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American Academy of Pediatrics, Health Care for Children and Adolescents in the Juvenile Correctional Care System (2001)</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American Bar Association, Resolution on Youth in the Criminal Justice System (101D) (2002)</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American Correctional Association, Public Correctional Policy on Juvenile Justice (2007)</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American Correctional Association, Public Correctional Policy on Youthful Offenders Transferred to Adult Criminal Jurisdiction (2009)</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American Jail Association, Juveniles in Jails (1993)</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American Medical Association, Health Status of Detained and Incarcerated Youth (1990)</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American Public Health Association, Encourage Healthy Behavior by Adolescents (2000)</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American Psychiatric Association, Adjudication of Youths as Adults in the Criminal Justice System (2006)</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Association of State Correctional Administrators, Resolution #2 – Evaluating the Effects of Incarceration in Adult Facilities on Youth Offenders (2006)</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Coalition for Juvenile Justice, Children Detained in Adult Jails (n/d)</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Council of Juvenile Correctional Administrators, Waiver and Transfer of Youths to Adult Systems (2009)</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International Community Corrections Association, Public Policy on Juvenile Justice (2006)</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National Association for the Advancement of Colored People, Opposition to Transfer of Youth to the Adult Criminal Justice System (2008)</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National Association of Counties, American County Platform &amp; Resolutions (2009)</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National Association of Social Workers, Juvenile Justice and Delinquency Prevention (2005)</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National Commission on Correctional Healthcare, Health Services to Adolescents in Adult Correctional Facilities (1998)</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National Commission on Correctional Healthcare, Prevention of Juvenile Suicide in Correctional Settings (2007)</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National Juvenile Detention Association, Opposing the Use of Adult Jails for the Detention of Juveniles (1981)</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lastRenderedPageBreak/>
        <w:t>National Juvenile Detention Association, Holding Juveniles Under Criminal Court Jurisdiction in Juvenile Detention (1997)</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The Parent-Teacher Association, Child Safety and Protection (n/d)</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United States Conference of Catholic Bishops, Responsibility, Rehabilitation, and Restoration: A Catholic Perspective and Criminal Justice (2000)</w:t>
      </w:r>
    </w:p>
    <w:p w:rsidR="00B12B0D" w:rsidRPr="00B12B0D" w:rsidRDefault="00B12B0D" w:rsidP="000F623D">
      <w:pPr>
        <w:pStyle w:val="ListParagraph"/>
        <w:numPr>
          <w:ilvl w:val="0"/>
          <w:numId w:val="32"/>
        </w:numPr>
        <w:spacing w:after="120"/>
        <w:contextualSpacing w:val="0"/>
        <w:rPr>
          <w:sz w:val="22"/>
          <w:szCs w:val="22"/>
        </w:rPr>
      </w:pPr>
      <w:r w:rsidRPr="00B12B0D">
        <w:rPr>
          <w:sz w:val="22"/>
          <w:szCs w:val="22"/>
        </w:rPr>
        <w:t>U.S. Conference of Mayors, Calling for Reauthorization of the Juvenile Justice and Delinquency Prevention Act (2008)</w:t>
      </w:r>
    </w:p>
    <w:p w:rsidR="00B12B0D" w:rsidRPr="00B12B0D" w:rsidRDefault="00B12B0D" w:rsidP="000F623D">
      <w:pPr>
        <w:tabs>
          <w:tab w:val="left" w:pos="3410"/>
        </w:tabs>
        <w:rPr>
          <w:b/>
          <w:sz w:val="22"/>
          <w:szCs w:val="22"/>
        </w:rPr>
      </w:pPr>
      <w:r w:rsidRPr="00B12B0D">
        <w:rPr>
          <w:b/>
          <w:sz w:val="22"/>
          <w:szCs w:val="22"/>
        </w:rPr>
        <w:tab/>
      </w:r>
    </w:p>
    <w:p w:rsidR="00B12B0D" w:rsidRPr="00B12B0D" w:rsidRDefault="00B12B0D" w:rsidP="000F623D">
      <w:pPr>
        <w:rPr>
          <w:b/>
          <w:sz w:val="22"/>
          <w:szCs w:val="22"/>
        </w:rPr>
      </w:pPr>
      <w:r w:rsidRPr="00B12B0D">
        <w:rPr>
          <w:b/>
          <w:sz w:val="22"/>
          <w:szCs w:val="22"/>
        </w:rPr>
        <w:t>International Law</w:t>
      </w:r>
    </w:p>
    <w:p w:rsidR="00B12B0D" w:rsidRPr="00B12B0D" w:rsidRDefault="00B12B0D" w:rsidP="000F623D">
      <w:pPr>
        <w:rPr>
          <w:b/>
          <w:sz w:val="22"/>
          <w:szCs w:val="22"/>
        </w:rPr>
      </w:pP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Additional Protocol to the American Convention on Human Rights in the Area of Economic, Social and Cultural Rights “Protocol of San Salvador,” Article 16</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American Convention on Human Rights, Article 19</w:t>
      </w:r>
    </w:p>
    <w:p w:rsidR="00B12B0D" w:rsidRDefault="00B12B0D" w:rsidP="000F623D">
      <w:pPr>
        <w:pStyle w:val="ListParagraph"/>
        <w:numPr>
          <w:ilvl w:val="0"/>
          <w:numId w:val="33"/>
        </w:numPr>
        <w:spacing w:after="120"/>
        <w:contextualSpacing w:val="0"/>
        <w:rPr>
          <w:sz w:val="22"/>
          <w:szCs w:val="22"/>
        </w:rPr>
      </w:pPr>
      <w:r w:rsidRPr="00B12B0D">
        <w:rPr>
          <w:sz w:val="22"/>
          <w:szCs w:val="22"/>
        </w:rPr>
        <w:t>American Convention on Human Rights, Article 5</w:t>
      </w:r>
    </w:p>
    <w:p w:rsidR="00B12B0D" w:rsidRPr="00B12B0D" w:rsidRDefault="00B12B0D" w:rsidP="000F623D">
      <w:pPr>
        <w:pStyle w:val="ListParagraph"/>
        <w:numPr>
          <w:ilvl w:val="0"/>
          <w:numId w:val="33"/>
        </w:numPr>
        <w:spacing w:after="120"/>
        <w:contextualSpacing w:val="0"/>
        <w:rPr>
          <w:sz w:val="22"/>
          <w:szCs w:val="22"/>
        </w:rPr>
      </w:pPr>
      <w:r>
        <w:rPr>
          <w:sz w:val="22"/>
          <w:szCs w:val="22"/>
        </w:rPr>
        <w:t>American Convention on Human Rights, Article 6</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American Declaration of the Rights and Duties of Man, Article XI</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Convention on the Rights of the Child, Article 1</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Convention on the Rights of the Child, Article 19</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Convention on the Rights of the Child, Article 27</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Convention on the Rights of the Child, Article 3</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Convention on the Rights of the Child, Article 34</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Convention on the Rights of the Child, Article 37</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Convention on the Rights of the Child, Article 40</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Declaration of the Rights of the Child, Principle 2</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Inter-American Convention on the Prevention, Punishment and Eradication of Violence Against Women “Convention of Belem Do Para,” Article 7</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Inter-American Convention on the Prevention, Punishment and Eradication of Violence Against Women “Convention of Belem Do Para,” Article 8</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Inter-American Convention to Prevent and Punish Torture, Article 7</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International Covenant on Civil and Political Rights, Article 10</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International Covenant on Civil and Political Rights, Article 24</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United Nations Guidelines for the Prevention of Juvenile Delinquency (The Riyadh Guidelines), Rule 52</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United Nations Guidelines for the Prevention of Juvenile Delinquency (The Riyadh Guidelines), Rule 54</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United Nations Rules for the Protection of Juveniles Deprived of their Liberty, Rule 11</w:t>
      </w:r>
    </w:p>
    <w:p w:rsidR="00B12B0D" w:rsidRDefault="00B12B0D" w:rsidP="000F623D">
      <w:pPr>
        <w:pStyle w:val="ListParagraph"/>
        <w:numPr>
          <w:ilvl w:val="0"/>
          <w:numId w:val="33"/>
        </w:numPr>
        <w:spacing w:after="120"/>
        <w:contextualSpacing w:val="0"/>
        <w:rPr>
          <w:sz w:val="22"/>
          <w:szCs w:val="22"/>
        </w:rPr>
      </w:pPr>
      <w:r w:rsidRPr="00B12B0D">
        <w:rPr>
          <w:sz w:val="22"/>
          <w:szCs w:val="22"/>
        </w:rPr>
        <w:t>United Nations Rules for the Protection of Juveniles Deprived of their Liberty, Rule 12</w:t>
      </w:r>
    </w:p>
    <w:p w:rsidR="00B12B0D" w:rsidRDefault="00B12B0D" w:rsidP="000F623D">
      <w:pPr>
        <w:pStyle w:val="ListParagraph"/>
        <w:numPr>
          <w:ilvl w:val="0"/>
          <w:numId w:val="33"/>
        </w:numPr>
        <w:spacing w:after="120"/>
        <w:contextualSpacing w:val="0"/>
        <w:rPr>
          <w:sz w:val="22"/>
          <w:szCs w:val="22"/>
        </w:rPr>
      </w:pPr>
      <w:r w:rsidRPr="00B12B0D">
        <w:rPr>
          <w:sz w:val="22"/>
          <w:szCs w:val="22"/>
        </w:rPr>
        <w:lastRenderedPageBreak/>
        <w:t>United Nations Rules for the Protection of Juveniles Deprived of their Liberty, Rule 1</w:t>
      </w:r>
      <w:r>
        <w:rPr>
          <w:sz w:val="22"/>
          <w:szCs w:val="22"/>
        </w:rPr>
        <w:t>3</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United Nations Rules for the Protection of Juveniles Deprived of their Liberty, Rule 14</w:t>
      </w:r>
    </w:p>
    <w:p w:rsidR="00B12B0D" w:rsidRDefault="00B12B0D" w:rsidP="000F623D">
      <w:pPr>
        <w:pStyle w:val="ListParagraph"/>
        <w:numPr>
          <w:ilvl w:val="0"/>
          <w:numId w:val="33"/>
        </w:numPr>
        <w:spacing w:after="120"/>
        <w:contextualSpacing w:val="0"/>
        <w:rPr>
          <w:sz w:val="22"/>
          <w:szCs w:val="22"/>
        </w:rPr>
      </w:pPr>
      <w:r w:rsidRPr="00B12B0D">
        <w:rPr>
          <w:sz w:val="22"/>
          <w:szCs w:val="22"/>
        </w:rPr>
        <w:t>United Nations Rules for the Protection of Juveniles Deprived of their Liberty, Rule 15</w:t>
      </w:r>
    </w:p>
    <w:p w:rsidR="00B12B0D" w:rsidRDefault="00B12B0D" w:rsidP="000F623D">
      <w:pPr>
        <w:pStyle w:val="ListParagraph"/>
        <w:numPr>
          <w:ilvl w:val="0"/>
          <w:numId w:val="33"/>
        </w:numPr>
        <w:spacing w:after="120"/>
        <w:contextualSpacing w:val="0"/>
        <w:rPr>
          <w:sz w:val="22"/>
          <w:szCs w:val="22"/>
        </w:rPr>
      </w:pPr>
      <w:r w:rsidRPr="00B12B0D">
        <w:rPr>
          <w:sz w:val="22"/>
          <w:szCs w:val="22"/>
        </w:rPr>
        <w:t>United Nations Rules for the Protection of Juveniles Deprived of their Liberty</w:t>
      </w:r>
      <w:r>
        <w:rPr>
          <w:sz w:val="22"/>
          <w:szCs w:val="22"/>
        </w:rPr>
        <w:t>, Rule 20</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United Nations Rules for the Protection of Juveniles Deprived of their Liberty, Rule 27</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United Nations Rules for the Protection of Juveniles Deprived of their Liberty, Rule 28</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United Nations Rules for the Protection of Juveniles Deprived of their Liberty, Rule 29</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United Nations Rules for the Protection of Juveniles Deprived of their Liberty, Rule 31</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United Nations Rules for the Protection of Juveniles Deprived of their Liberty, Rule 37</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United Nations Rules for the Protection of Juveniles Deprived of their Liberty, Rule 38</w:t>
      </w:r>
    </w:p>
    <w:p w:rsidR="00B12B0D" w:rsidRDefault="00B12B0D" w:rsidP="000F623D">
      <w:pPr>
        <w:pStyle w:val="ListParagraph"/>
        <w:numPr>
          <w:ilvl w:val="0"/>
          <w:numId w:val="33"/>
        </w:numPr>
        <w:spacing w:after="120"/>
        <w:contextualSpacing w:val="0"/>
        <w:rPr>
          <w:sz w:val="22"/>
          <w:szCs w:val="22"/>
        </w:rPr>
      </w:pPr>
      <w:r w:rsidRPr="00B12B0D">
        <w:rPr>
          <w:sz w:val="22"/>
          <w:szCs w:val="22"/>
        </w:rPr>
        <w:t>United Nations Rules for the Protection of Juveniles Deprived of their Liberty, Rule 47</w:t>
      </w:r>
    </w:p>
    <w:p w:rsidR="00A13292" w:rsidRDefault="00A13292" w:rsidP="000F623D">
      <w:pPr>
        <w:pStyle w:val="ListParagraph"/>
        <w:numPr>
          <w:ilvl w:val="0"/>
          <w:numId w:val="33"/>
        </w:numPr>
        <w:spacing w:after="120"/>
        <w:contextualSpacing w:val="0"/>
        <w:rPr>
          <w:sz w:val="22"/>
          <w:szCs w:val="22"/>
        </w:rPr>
      </w:pPr>
      <w:r w:rsidRPr="00A13292">
        <w:rPr>
          <w:sz w:val="22"/>
          <w:szCs w:val="22"/>
        </w:rPr>
        <w:t>United Nations Rules for the Protection of Juveniles Deprived of their Liberty</w:t>
      </w:r>
      <w:r>
        <w:rPr>
          <w:sz w:val="22"/>
          <w:szCs w:val="22"/>
        </w:rPr>
        <w:t>, Rule 49</w:t>
      </w:r>
    </w:p>
    <w:p w:rsidR="00B12B0D" w:rsidRPr="00A13292" w:rsidRDefault="00B12B0D" w:rsidP="000F623D">
      <w:pPr>
        <w:pStyle w:val="ListParagraph"/>
        <w:numPr>
          <w:ilvl w:val="0"/>
          <w:numId w:val="33"/>
        </w:numPr>
        <w:spacing w:after="120"/>
        <w:contextualSpacing w:val="0"/>
        <w:rPr>
          <w:sz w:val="22"/>
          <w:szCs w:val="22"/>
        </w:rPr>
      </w:pPr>
      <w:r w:rsidRPr="00A13292">
        <w:rPr>
          <w:sz w:val="22"/>
          <w:szCs w:val="22"/>
        </w:rPr>
        <w:t>United Nations Rules for the Protection of Juveniles Deprived of their Liberty, Rule 85</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United Nations Standard Minimum Rules for the Administration of Juvenile Justice (the Beijing Rules), Rule 13.4</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United Nations Standard Minimum Rules for the Administration of Juvenile Justice (the Beijing Rules), Rule 13.5</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United Nations Standard Minimum Rules for the Administration of Juvenile Justice (the Beijing Rules), Rule 26.2</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United Nations Standard Minimum Rules for the Administration of Juvenile Justice (the Beijing Rules), Rule 26.3</w:t>
      </w:r>
    </w:p>
    <w:p w:rsidR="00B12B0D" w:rsidRPr="00B12B0D" w:rsidRDefault="00B12B0D" w:rsidP="000F623D">
      <w:pPr>
        <w:pStyle w:val="ListParagraph"/>
        <w:numPr>
          <w:ilvl w:val="0"/>
          <w:numId w:val="33"/>
        </w:numPr>
        <w:spacing w:after="120"/>
        <w:contextualSpacing w:val="0"/>
        <w:rPr>
          <w:sz w:val="22"/>
          <w:szCs w:val="22"/>
        </w:rPr>
      </w:pPr>
      <w:r w:rsidRPr="00B12B0D">
        <w:rPr>
          <w:sz w:val="22"/>
          <w:szCs w:val="22"/>
        </w:rPr>
        <w:t>United Nations Standard Minimum Rules for the Treatment of Prisoners, Rule 8</w:t>
      </w:r>
    </w:p>
    <w:p w:rsidR="00B12B0D" w:rsidRPr="00B12B0D" w:rsidRDefault="00B12B0D" w:rsidP="000F623D">
      <w:pPr>
        <w:pStyle w:val="ListParagraph"/>
        <w:rPr>
          <w:sz w:val="22"/>
          <w:szCs w:val="22"/>
        </w:rPr>
      </w:pPr>
    </w:p>
    <w:p w:rsidR="00571062" w:rsidRDefault="00571062" w:rsidP="000F623D">
      <w:pPr>
        <w:rPr>
          <w:b/>
          <w:sz w:val="22"/>
          <w:szCs w:val="22"/>
          <w:lang w:bidi="en-US"/>
        </w:rPr>
      </w:pPr>
      <w:r>
        <w:rPr>
          <w:b/>
          <w:sz w:val="22"/>
          <w:szCs w:val="22"/>
          <w:lang w:bidi="en-US"/>
        </w:rPr>
        <w:br w:type="page"/>
      </w:r>
    </w:p>
    <w:p w:rsidR="00FB7733" w:rsidRDefault="00571062" w:rsidP="006F1BA4">
      <w:pPr>
        <w:jc w:val="center"/>
        <w:rPr>
          <w:b/>
          <w:sz w:val="22"/>
          <w:szCs w:val="22"/>
          <w:lang w:bidi="en-US"/>
        </w:rPr>
      </w:pPr>
      <w:r w:rsidRPr="00571062">
        <w:rPr>
          <w:b/>
          <w:sz w:val="22"/>
          <w:szCs w:val="22"/>
          <w:lang w:bidi="en-US"/>
        </w:rPr>
        <w:lastRenderedPageBreak/>
        <w:t xml:space="preserve">Attachment </w:t>
      </w:r>
      <w:r>
        <w:rPr>
          <w:b/>
          <w:sz w:val="22"/>
          <w:szCs w:val="22"/>
          <w:lang w:bidi="en-US"/>
        </w:rPr>
        <w:t>B</w:t>
      </w:r>
    </w:p>
    <w:p w:rsidR="00FB7733" w:rsidRDefault="00FB7733" w:rsidP="006F1BA4">
      <w:pPr>
        <w:jc w:val="center"/>
        <w:rPr>
          <w:b/>
          <w:sz w:val="22"/>
          <w:szCs w:val="22"/>
          <w:lang w:bidi="en-US"/>
        </w:rPr>
      </w:pPr>
    </w:p>
    <w:p w:rsidR="00571062" w:rsidRDefault="00571062" w:rsidP="006F1BA4">
      <w:pPr>
        <w:jc w:val="center"/>
        <w:rPr>
          <w:b/>
          <w:sz w:val="22"/>
          <w:szCs w:val="22"/>
          <w:lang w:bidi="en-US"/>
        </w:rPr>
      </w:pPr>
      <w:r>
        <w:rPr>
          <w:b/>
          <w:sz w:val="22"/>
          <w:szCs w:val="22"/>
          <w:lang w:bidi="en-US"/>
        </w:rPr>
        <w:t xml:space="preserve">Testimony </w:t>
      </w:r>
      <w:r w:rsidR="00447001">
        <w:rPr>
          <w:b/>
          <w:sz w:val="22"/>
          <w:szCs w:val="22"/>
          <w:lang w:bidi="en-US"/>
        </w:rPr>
        <w:t>on Dangers of Youth in Adult Facilities</w:t>
      </w:r>
    </w:p>
    <w:p w:rsidR="00072C17" w:rsidRDefault="00072C17" w:rsidP="006F1BA4">
      <w:pPr>
        <w:jc w:val="center"/>
        <w:rPr>
          <w:b/>
          <w:sz w:val="22"/>
          <w:szCs w:val="22"/>
          <w:lang w:bidi="en-US"/>
        </w:rPr>
      </w:pPr>
    </w:p>
    <w:p w:rsidR="00447001" w:rsidRDefault="00447001" w:rsidP="000F623D">
      <w:pPr>
        <w:rPr>
          <w:b/>
          <w:sz w:val="22"/>
          <w:szCs w:val="22"/>
          <w:lang w:bidi="en-US"/>
        </w:rPr>
      </w:pPr>
    </w:p>
    <w:p w:rsidR="005D5E5D" w:rsidRDefault="005D5E5D" w:rsidP="000F623D">
      <w:pPr>
        <w:pStyle w:val="ListParagraph"/>
        <w:numPr>
          <w:ilvl w:val="0"/>
          <w:numId w:val="34"/>
        </w:numPr>
        <w:rPr>
          <w:sz w:val="22"/>
          <w:szCs w:val="22"/>
          <w:lang w:bidi="en-US"/>
        </w:rPr>
      </w:pPr>
      <w:r w:rsidRPr="00A25C09">
        <w:rPr>
          <w:sz w:val="22"/>
          <w:szCs w:val="22"/>
          <w:lang w:bidi="en-US"/>
        </w:rPr>
        <w:t>Linda Bruntmyer, Hearing before the Senate Committee on the Judiciary, “Prison Rape Reduction Act of 2002,” July 31, 2002</w:t>
      </w:r>
    </w:p>
    <w:p w:rsidR="00DD7089" w:rsidRDefault="00DD7089" w:rsidP="000F623D">
      <w:pPr>
        <w:pStyle w:val="ListParagraph"/>
        <w:rPr>
          <w:sz w:val="22"/>
          <w:szCs w:val="22"/>
          <w:lang w:bidi="en-US"/>
        </w:rPr>
      </w:pPr>
    </w:p>
    <w:p w:rsidR="00072C17" w:rsidRPr="00DD7089" w:rsidRDefault="00DD7089" w:rsidP="000F623D">
      <w:pPr>
        <w:pStyle w:val="ListParagraph"/>
        <w:numPr>
          <w:ilvl w:val="0"/>
          <w:numId w:val="34"/>
        </w:numPr>
        <w:rPr>
          <w:sz w:val="22"/>
          <w:szCs w:val="22"/>
          <w:lang w:bidi="en-US"/>
        </w:rPr>
      </w:pPr>
      <w:r w:rsidRPr="00DD7089">
        <w:rPr>
          <w:sz w:val="22"/>
          <w:szCs w:val="22"/>
          <w:lang w:bidi="en-US"/>
        </w:rPr>
        <w:t>Deborah LaBelle, Esq., Hearing before the National Prison Rape Elimination Commission, “At Risk: Sexual Abuse and Vulnerable Groups Behind Bars,” August 15, 2005</w:t>
      </w:r>
    </w:p>
    <w:p w:rsidR="005D5E5D" w:rsidRPr="00A25C09" w:rsidRDefault="005D5E5D" w:rsidP="000F623D">
      <w:pPr>
        <w:pStyle w:val="ListParagraph"/>
        <w:rPr>
          <w:sz w:val="22"/>
          <w:szCs w:val="22"/>
          <w:lang w:bidi="en-US"/>
        </w:rPr>
      </w:pPr>
    </w:p>
    <w:p w:rsidR="005D5E5D" w:rsidRPr="005B7A5B" w:rsidRDefault="00A25C09" w:rsidP="000F623D">
      <w:pPr>
        <w:pStyle w:val="ListParagraph"/>
        <w:numPr>
          <w:ilvl w:val="0"/>
          <w:numId w:val="34"/>
        </w:numPr>
        <w:autoSpaceDE w:val="0"/>
        <w:autoSpaceDN w:val="0"/>
        <w:adjustRightInd w:val="0"/>
        <w:rPr>
          <w:sz w:val="22"/>
          <w:szCs w:val="22"/>
          <w:lang w:bidi="en-US"/>
        </w:rPr>
      </w:pPr>
      <w:r w:rsidRPr="00A25C09">
        <w:rPr>
          <w:rFonts w:eastAsia="Calibri"/>
          <w:bCs/>
          <w:sz w:val="22"/>
          <w:szCs w:val="22"/>
        </w:rPr>
        <w:t xml:space="preserve">Gabriel A. Morgan, </w:t>
      </w:r>
      <w:r>
        <w:rPr>
          <w:rFonts w:eastAsia="Calibri"/>
          <w:bCs/>
          <w:sz w:val="22"/>
          <w:szCs w:val="22"/>
        </w:rPr>
        <w:t>Hearing before the Subcommittee on Crime, Terrorism, and Homeland Security of the Committee on the Judiciary, “Keeping Youth Safe While in Custody: Sexual Assault in Adult and Juvenile Facilities,” February 23, 2010</w:t>
      </w:r>
    </w:p>
    <w:p w:rsidR="005B7A5B" w:rsidRPr="005B7A5B" w:rsidRDefault="005B7A5B" w:rsidP="000F623D">
      <w:pPr>
        <w:pStyle w:val="ListParagraph"/>
        <w:rPr>
          <w:sz w:val="22"/>
          <w:szCs w:val="22"/>
          <w:lang w:bidi="en-US"/>
        </w:rPr>
      </w:pPr>
    </w:p>
    <w:p w:rsidR="005B7A5B" w:rsidRDefault="004C2BE8" w:rsidP="000F623D">
      <w:pPr>
        <w:pStyle w:val="ListParagraph"/>
        <w:numPr>
          <w:ilvl w:val="0"/>
          <w:numId w:val="34"/>
        </w:numPr>
        <w:autoSpaceDE w:val="0"/>
        <w:autoSpaceDN w:val="0"/>
        <w:adjustRightInd w:val="0"/>
        <w:rPr>
          <w:sz w:val="22"/>
          <w:szCs w:val="22"/>
          <w:lang w:bidi="en-US"/>
        </w:rPr>
      </w:pPr>
      <w:r>
        <w:rPr>
          <w:sz w:val="22"/>
          <w:szCs w:val="22"/>
          <w:lang w:bidi="en-US"/>
        </w:rPr>
        <w:t xml:space="preserve">T.J. Parsell, </w:t>
      </w:r>
      <w:r w:rsidR="001179D2">
        <w:rPr>
          <w:sz w:val="22"/>
          <w:szCs w:val="22"/>
          <w:lang w:bidi="en-US"/>
        </w:rPr>
        <w:t>Hearing before the National Prison Rape Elimination Commission, “At Risk: Sexual Abuse and Vulnerable Groups Behind Bars,” August 15, 2005</w:t>
      </w:r>
    </w:p>
    <w:p w:rsidR="001179D2" w:rsidRPr="001179D2" w:rsidRDefault="001179D2" w:rsidP="000F623D">
      <w:pPr>
        <w:pStyle w:val="ListParagraph"/>
        <w:rPr>
          <w:sz w:val="22"/>
          <w:szCs w:val="22"/>
          <w:lang w:bidi="en-US"/>
        </w:rPr>
      </w:pPr>
    </w:p>
    <w:p w:rsidR="00C02574" w:rsidRDefault="00C02574" w:rsidP="000F623D">
      <w:pPr>
        <w:rPr>
          <w:sz w:val="22"/>
          <w:szCs w:val="22"/>
          <w:lang w:bidi="en-US"/>
        </w:rPr>
      </w:pPr>
      <w:r>
        <w:rPr>
          <w:sz w:val="22"/>
          <w:szCs w:val="22"/>
          <w:lang w:bidi="en-US"/>
        </w:rPr>
        <w:br w:type="page"/>
      </w:r>
    </w:p>
    <w:p w:rsidR="007226FD" w:rsidRDefault="00C02574" w:rsidP="006F1BA4">
      <w:pPr>
        <w:jc w:val="center"/>
        <w:rPr>
          <w:b/>
          <w:sz w:val="22"/>
          <w:szCs w:val="22"/>
          <w:lang w:bidi="en-US"/>
        </w:rPr>
      </w:pPr>
      <w:r w:rsidRPr="00C02574">
        <w:rPr>
          <w:b/>
          <w:sz w:val="22"/>
          <w:szCs w:val="22"/>
          <w:lang w:bidi="en-US"/>
        </w:rPr>
        <w:lastRenderedPageBreak/>
        <w:t>Attachment C</w:t>
      </w:r>
    </w:p>
    <w:p w:rsidR="007226FD" w:rsidRDefault="007226FD" w:rsidP="006F1BA4">
      <w:pPr>
        <w:jc w:val="center"/>
        <w:rPr>
          <w:b/>
          <w:sz w:val="22"/>
          <w:szCs w:val="22"/>
          <w:lang w:bidi="en-US"/>
        </w:rPr>
      </w:pPr>
    </w:p>
    <w:p w:rsidR="007226FD" w:rsidRDefault="007226FD" w:rsidP="006F1BA4">
      <w:pPr>
        <w:jc w:val="center"/>
        <w:rPr>
          <w:b/>
          <w:sz w:val="22"/>
          <w:szCs w:val="22"/>
          <w:lang w:bidi="en-US"/>
        </w:rPr>
      </w:pPr>
    </w:p>
    <w:p w:rsidR="007226FD" w:rsidRDefault="006D033A" w:rsidP="006F1BA4">
      <w:pPr>
        <w:jc w:val="center"/>
        <w:rPr>
          <w:b/>
          <w:i/>
          <w:sz w:val="22"/>
          <w:szCs w:val="22"/>
          <w:lang w:bidi="en-US"/>
        </w:rPr>
      </w:pPr>
      <w:r>
        <w:rPr>
          <w:b/>
          <w:sz w:val="22"/>
          <w:szCs w:val="22"/>
          <w:lang w:bidi="en-US"/>
        </w:rPr>
        <w:t xml:space="preserve">Campaign for Youth Justice report, </w:t>
      </w:r>
      <w:r w:rsidR="00C02574" w:rsidRPr="00C02574">
        <w:rPr>
          <w:b/>
          <w:i/>
          <w:sz w:val="22"/>
          <w:szCs w:val="22"/>
          <w:lang w:bidi="en-US"/>
        </w:rPr>
        <w:t>State Trends</w:t>
      </w:r>
      <w:r>
        <w:rPr>
          <w:b/>
          <w:i/>
          <w:sz w:val="22"/>
          <w:szCs w:val="22"/>
          <w:lang w:bidi="en-US"/>
        </w:rPr>
        <w:t>:</w:t>
      </w:r>
    </w:p>
    <w:p w:rsidR="00B12B0D" w:rsidRPr="00C02574" w:rsidRDefault="006D033A" w:rsidP="006F1BA4">
      <w:pPr>
        <w:jc w:val="center"/>
        <w:rPr>
          <w:b/>
          <w:sz w:val="22"/>
          <w:szCs w:val="22"/>
          <w:lang w:bidi="en-US"/>
        </w:rPr>
      </w:pPr>
      <w:r>
        <w:rPr>
          <w:b/>
          <w:i/>
          <w:sz w:val="22"/>
          <w:szCs w:val="22"/>
          <w:lang w:bidi="en-US"/>
        </w:rPr>
        <w:t>Legislative Victories from 2005 to 2010 Removing Youth from the Adult Criminal Justice System</w:t>
      </w:r>
      <w:r w:rsidR="00B12B0D" w:rsidRPr="00C02574">
        <w:rPr>
          <w:b/>
          <w:sz w:val="22"/>
          <w:szCs w:val="22"/>
          <w:lang w:bidi="en-US"/>
        </w:rPr>
        <w:br w:type="page"/>
      </w:r>
    </w:p>
    <w:p w:rsidR="00032E0B" w:rsidRDefault="00CA5A1B" w:rsidP="000F623D">
      <w:pPr>
        <w:jc w:val="center"/>
        <w:rPr>
          <w:b/>
          <w:sz w:val="22"/>
          <w:szCs w:val="22"/>
          <w:lang w:bidi="en-US"/>
        </w:rPr>
      </w:pPr>
      <w:r w:rsidRPr="00B12B0D">
        <w:rPr>
          <w:b/>
          <w:sz w:val="22"/>
          <w:szCs w:val="22"/>
          <w:lang w:bidi="en-US"/>
        </w:rPr>
        <w:lastRenderedPageBreak/>
        <w:t xml:space="preserve">Attachment </w:t>
      </w:r>
      <w:r w:rsidR="004E78AF" w:rsidRPr="00B12B0D">
        <w:rPr>
          <w:b/>
          <w:sz w:val="22"/>
          <w:szCs w:val="22"/>
          <w:lang w:bidi="en-US"/>
        </w:rPr>
        <w:t>D</w:t>
      </w:r>
    </w:p>
    <w:p w:rsidR="00032E0B" w:rsidRDefault="00032E0B" w:rsidP="000F623D">
      <w:pPr>
        <w:jc w:val="center"/>
        <w:rPr>
          <w:b/>
          <w:sz w:val="22"/>
          <w:szCs w:val="22"/>
          <w:lang w:bidi="en-US"/>
        </w:rPr>
      </w:pPr>
    </w:p>
    <w:p w:rsidR="00374DC5" w:rsidRPr="00B12B0D" w:rsidRDefault="00374DC5" w:rsidP="000F623D">
      <w:pPr>
        <w:jc w:val="center"/>
        <w:rPr>
          <w:b/>
          <w:sz w:val="22"/>
          <w:szCs w:val="22"/>
          <w:lang w:bidi="en-US"/>
        </w:rPr>
      </w:pPr>
      <w:r w:rsidRPr="00B12B0D">
        <w:rPr>
          <w:b/>
          <w:sz w:val="22"/>
          <w:szCs w:val="22"/>
          <w:lang w:bidi="en-US"/>
        </w:rPr>
        <w:t>Alternate Regulatory Proposal</w:t>
      </w:r>
    </w:p>
    <w:p w:rsidR="00CA5A1B" w:rsidRPr="00B12B0D" w:rsidRDefault="00CA5A1B" w:rsidP="000F623D">
      <w:pPr>
        <w:rPr>
          <w:sz w:val="22"/>
          <w:szCs w:val="22"/>
          <w:lang w:bidi="en-US"/>
        </w:rPr>
      </w:pPr>
    </w:p>
    <w:p w:rsidR="00837F6A" w:rsidRPr="00B12B0D" w:rsidRDefault="002141DC" w:rsidP="000F623D">
      <w:pPr>
        <w:rPr>
          <w:sz w:val="22"/>
          <w:szCs w:val="22"/>
          <w:lang w:bidi="en-US"/>
        </w:rPr>
      </w:pPr>
      <w:r w:rsidRPr="00B12B0D">
        <w:rPr>
          <w:sz w:val="22"/>
          <w:szCs w:val="22"/>
          <w:lang w:bidi="en-US"/>
        </w:rPr>
        <w:t xml:space="preserve">Although we believe that no youth should ever be housed in an adult facility, we have provided some additional language for the Department to consider.  </w:t>
      </w:r>
      <w:r w:rsidR="00226717" w:rsidRPr="00B12B0D">
        <w:rPr>
          <w:sz w:val="22"/>
          <w:szCs w:val="22"/>
          <w:lang w:bidi="en-US"/>
        </w:rPr>
        <w:t>It is with great reluctance that we offer an alternative.  A</w:t>
      </w:r>
      <w:r w:rsidR="00837F6A" w:rsidRPr="00B12B0D">
        <w:rPr>
          <w:sz w:val="22"/>
          <w:szCs w:val="22"/>
          <w:lang w:bidi="en-US"/>
        </w:rPr>
        <w:t xml:space="preserve">s noted in the Departments Federal Standards for Prisons and Jails issued in 1980: </w:t>
      </w:r>
    </w:p>
    <w:p w:rsidR="00837F6A" w:rsidRPr="00B12B0D" w:rsidRDefault="00837F6A" w:rsidP="000F623D">
      <w:pPr>
        <w:rPr>
          <w:sz w:val="22"/>
          <w:szCs w:val="22"/>
          <w:lang w:bidi="en-US"/>
        </w:rPr>
      </w:pPr>
    </w:p>
    <w:p w:rsidR="00837F6A" w:rsidRPr="00B12B0D" w:rsidRDefault="00837F6A" w:rsidP="000F623D">
      <w:pPr>
        <w:ind w:left="720"/>
        <w:rPr>
          <w:sz w:val="22"/>
          <w:szCs w:val="22"/>
          <w:lang w:bidi="en-US"/>
        </w:rPr>
      </w:pPr>
      <w:r w:rsidRPr="00B12B0D">
        <w:rPr>
          <w:sz w:val="22"/>
          <w:szCs w:val="22"/>
          <w:lang w:bidi="en-US"/>
        </w:rPr>
        <w:t xml:space="preserve">It is the position of the Department of Justice that juveniles, especially non-criminal juveniles, do not belong in adult prisons or jails of any sort.  These standards do not treat in any detail the handling of juveniles in adult facilities, in keeping with our view that to recommend the development of special programs, policies and procedures to accommodate juveniles might encourage the placement of juveniles in adult facilities rather than their removal. </w:t>
      </w:r>
    </w:p>
    <w:p w:rsidR="00837F6A" w:rsidRPr="00B12B0D" w:rsidRDefault="00837F6A" w:rsidP="000F623D">
      <w:pPr>
        <w:rPr>
          <w:sz w:val="22"/>
          <w:szCs w:val="22"/>
          <w:lang w:bidi="en-US"/>
        </w:rPr>
      </w:pPr>
    </w:p>
    <w:p w:rsidR="00D46C5C" w:rsidRPr="00B12B0D" w:rsidRDefault="00782815" w:rsidP="000F623D">
      <w:pPr>
        <w:rPr>
          <w:sz w:val="22"/>
          <w:szCs w:val="22"/>
          <w:lang w:bidi="en-US"/>
        </w:rPr>
      </w:pPr>
      <w:r w:rsidRPr="00B12B0D">
        <w:rPr>
          <w:sz w:val="22"/>
          <w:szCs w:val="22"/>
          <w:lang w:bidi="en-US"/>
        </w:rPr>
        <w:t>We have crafted our alternative proposal</w:t>
      </w:r>
      <w:r w:rsidR="007652DA" w:rsidRPr="00B12B0D">
        <w:rPr>
          <w:sz w:val="22"/>
          <w:szCs w:val="22"/>
          <w:lang w:bidi="en-US"/>
        </w:rPr>
        <w:t xml:space="preserve"> to address the potential concerns of some</w:t>
      </w:r>
      <w:r w:rsidR="00F704D0" w:rsidRPr="00B12B0D">
        <w:rPr>
          <w:sz w:val="22"/>
          <w:szCs w:val="22"/>
          <w:lang w:bidi="en-US"/>
        </w:rPr>
        <w:t xml:space="preserve"> correctional</w:t>
      </w:r>
      <w:r w:rsidR="007652DA" w:rsidRPr="00B12B0D">
        <w:rPr>
          <w:sz w:val="22"/>
          <w:szCs w:val="22"/>
          <w:lang w:bidi="en-US"/>
        </w:rPr>
        <w:t xml:space="preserve"> agencies who may </w:t>
      </w:r>
      <w:r w:rsidR="009F41D1" w:rsidRPr="00B12B0D">
        <w:rPr>
          <w:sz w:val="22"/>
          <w:szCs w:val="22"/>
          <w:lang w:bidi="en-US"/>
        </w:rPr>
        <w:t>point to</w:t>
      </w:r>
      <w:r w:rsidR="007053D5" w:rsidRPr="00B12B0D">
        <w:rPr>
          <w:sz w:val="22"/>
          <w:szCs w:val="22"/>
          <w:lang w:bidi="en-US"/>
        </w:rPr>
        <w:t xml:space="preserve"> </w:t>
      </w:r>
      <w:r w:rsidR="009F41D1" w:rsidRPr="00B12B0D">
        <w:rPr>
          <w:sz w:val="22"/>
          <w:szCs w:val="22"/>
          <w:lang w:bidi="en-US"/>
        </w:rPr>
        <w:t xml:space="preserve">the very rare </w:t>
      </w:r>
      <w:r w:rsidR="007053D5" w:rsidRPr="00B12B0D">
        <w:rPr>
          <w:sz w:val="22"/>
          <w:szCs w:val="22"/>
          <w:lang w:bidi="en-US"/>
        </w:rPr>
        <w:t xml:space="preserve">and isolated </w:t>
      </w:r>
      <w:r w:rsidR="009F41D1" w:rsidRPr="00B12B0D">
        <w:rPr>
          <w:sz w:val="22"/>
          <w:szCs w:val="22"/>
          <w:lang w:bidi="en-US"/>
        </w:rPr>
        <w:t>cases</w:t>
      </w:r>
      <w:r w:rsidR="002913C7" w:rsidRPr="00B12B0D">
        <w:rPr>
          <w:sz w:val="22"/>
          <w:szCs w:val="22"/>
          <w:lang w:bidi="en-US"/>
        </w:rPr>
        <w:t xml:space="preserve"> of youth who have caused serious injury to others in a juvenile facility and are beyond the facility’</w:t>
      </w:r>
      <w:r w:rsidR="00571E7A" w:rsidRPr="00B12B0D">
        <w:rPr>
          <w:sz w:val="22"/>
          <w:szCs w:val="22"/>
          <w:lang w:bidi="en-US"/>
        </w:rPr>
        <w:t>s control</w:t>
      </w:r>
      <w:r w:rsidR="009F41D1" w:rsidRPr="00B12B0D">
        <w:rPr>
          <w:sz w:val="22"/>
          <w:szCs w:val="22"/>
          <w:lang w:bidi="en-US"/>
        </w:rPr>
        <w:t xml:space="preserve">.  </w:t>
      </w:r>
      <w:r w:rsidR="0039321D" w:rsidRPr="00B12B0D">
        <w:rPr>
          <w:sz w:val="22"/>
          <w:szCs w:val="22"/>
          <w:lang w:bidi="en-US"/>
        </w:rPr>
        <w:t xml:space="preserve">The proposed standard has three components.  </w:t>
      </w:r>
      <w:r w:rsidR="00E62A08" w:rsidRPr="00B12B0D">
        <w:rPr>
          <w:sz w:val="22"/>
          <w:szCs w:val="22"/>
          <w:lang w:bidi="en-US"/>
        </w:rPr>
        <w:t xml:space="preserve">First, </w:t>
      </w:r>
      <w:r w:rsidR="00F82011" w:rsidRPr="00B12B0D">
        <w:rPr>
          <w:sz w:val="22"/>
          <w:szCs w:val="22"/>
          <w:lang w:bidi="en-US"/>
        </w:rPr>
        <w:t xml:space="preserve">the regulations should require that adult agencies enter into agreements with juvenile agencies for the initial reception of youth </w:t>
      </w:r>
      <w:r w:rsidR="004E6512" w:rsidRPr="00B12B0D">
        <w:rPr>
          <w:sz w:val="22"/>
          <w:szCs w:val="22"/>
          <w:lang w:bidi="en-US"/>
        </w:rPr>
        <w:t xml:space="preserve">who may otherwise enter their </w:t>
      </w:r>
      <w:r w:rsidR="00F82011" w:rsidRPr="00B12B0D">
        <w:rPr>
          <w:sz w:val="22"/>
          <w:szCs w:val="22"/>
          <w:lang w:bidi="en-US"/>
        </w:rPr>
        <w:t xml:space="preserve">custody.  </w:t>
      </w:r>
      <w:r w:rsidR="00AC5B60" w:rsidRPr="00B12B0D">
        <w:rPr>
          <w:sz w:val="22"/>
          <w:szCs w:val="22"/>
          <w:lang w:bidi="en-US"/>
        </w:rPr>
        <w:t xml:space="preserve">Congress specifically found that youth are at risk within the first 48 hours.  </w:t>
      </w:r>
      <w:r w:rsidR="00D46C5C" w:rsidRPr="00B12B0D">
        <w:rPr>
          <w:sz w:val="22"/>
          <w:szCs w:val="22"/>
          <w:lang w:bidi="en-US"/>
        </w:rPr>
        <w:t xml:space="preserve">We believe that </w:t>
      </w:r>
      <w:r w:rsidR="005F370B" w:rsidRPr="00B12B0D">
        <w:rPr>
          <w:sz w:val="22"/>
          <w:szCs w:val="22"/>
          <w:lang w:bidi="en-US"/>
        </w:rPr>
        <w:t xml:space="preserve">requiring adult agencies to </w:t>
      </w:r>
      <w:r w:rsidR="00C46704" w:rsidRPr="00B12B0D">
        <w:rPr>
          <w:sz w:val="22"/>
          <w:szCs w:val="22"/>
          <w:lang w:bidi="en-US"/>
        </w:rPr>
        <w:t xml:space="preserve">make arrangements with </w:t>
      </w:r>
      <w:r w:rsidR="00C814A2" w:rsidRPr="00B12B0D">
        <w:rPr>
          <w:sz w:val="22"/>
          <w:szCs w:val="22"/>
          <w:lang w:bidi="en-US"/>
        </w:rPr>
        <w:t>juvenile justice agencies</w:t>
      </w:r>
      <w:r w:rsidR="002B12D7" w:rsidRPr="00B12B0D">
        <w:rPr>
          <w:sz w:val="22"/>
          <w:szCs w:val="22"/>
          <w:lang w:bidi="en-US"/>
        </w:rPr>
        <w:t xml:space="preserve"> </w:t>
      </w:r>
      <w:r w:rsidR="00670895">
        <w:rPr>
          <w:sz w:val="22"/>
          <w:szCs w:val="22"/>
          <w:lang w:bidi="en-US"/>
        </w:rPr>
        <w:t>(</w:t>
      </w:r>
      <w:r w:rsidR="002929E5" w:rsidRPr="00B12B0D">
        <w:rPr>
          <w:sz w:val="22"/>
          <w:szCs w:val="22"/>
          <w:lang w:bidi="en-US"/>
        </w:rPr>
        <w:t>see the</w:t>
      </w:r>
      <w:r w:rsidR="00233500" w:rsidRPr="00B12B0D">
        <w:rPr>
          <w:sz w:val="22"/>
          <w:szCs w:val="22"/>
          <w:lang w:bidi="en-US"/>
        </w:rPr>
        <w:t xml:space="preserve"> </w:t>
      </w:r>
      <w:r w:rsidR="002B12D7" w:rsidRPr="00B12B0D">
        <w:rPr>
          <w:sz w:val="22"/>
          <w:szCs w:val="22"/>
          <w:lang w:bidi="en-US"/>
        </w:rPr>
        <w:t>memoranda from California</w:t>
      </w:r>
      <w:r w:rsidR="00670895">
        <w:rPr>
          <w:sz w:val="22"/>
          <w:szCs w:val="22"/>
          <w:lang w:bidi="en-US"/>
        </w:rPr>
        <w:t xml:space="preserve"> provided in this attachment)</w:t>
      </w:r>
      <w:r w:rsidR="00233500" w:rsidRPr="00B12B0D">
        <w:rPr>
          <w:sz w:val="22"/>
          <w:szCs w:val="22"/>
          <w:lang w:bidi="en-US"/>
        </w:rPr>
        <w:t xml:space="preserve"> </w:t>
      </w:r>
      <w:r w:rsidR="00F41159" w:rsidRPr="00B12B0D">
        <w:rPr>
          <w:sz w:val="22"/>
          <w:szCs w:val="22"/>
          <w:lang w:bidi="en-US"/>
        </w:rPr>
        <w:t xml:space="preserve">will help </w:t>
      </w:r>
      <w:r w:rsidR="00F262F4">
        <w:rPr>
          <w:sz w:val="22"/>
          <w:szCs w:val="22"/>
          <w:lang w:bidi="en-US"/>
        </w:rPr>
        <w:t>e</w:t>
      </w:r>
      <w:r w:rsidR="00F41159" w:rsidRPr="00B12B0D">
        <w:rPr>
          <w:sz w:val="22"/>
          <w:szCs w:val="22"/>
          <w:lang w:bidi="en-US"/>
        </w:rPr>
        <w:t xml:space="preserve">nsure that youth are not exposed to </w:t>
      </w:r>
      <w:r w:rsidR="00C9141A" w:rsidRPr="00B12B0D">
        <w:rPr>
          <w:sz w:val="22"/>
          <w:szCs w:val="22"/>
          <w:lang w:bidi="en-US"/>
        </w:rPr>
        <w:t>adult facilities</w:t>
      </w:r>
      <w:r w:rsidR="00D02A96" w:rsidRPr="00B12B0D">
        <w:rPr>
          <w:sz w:val="22"/>
          <w:szCs w:val="22"/>
          <w:lang w:bidi="en-US"/>
        </w:rPr>
        <w:t xml:space="preserve"> for any length of time without </w:t>
      </w:r>
      <w:r w:rsidR="00D1435F" w:rsidRPr="00B12B0D">
        <w:rPr>
          <w:sz w:val="22"/>
          <w:szCs w:val="22"/>
          <w:lang w:bidi="en-US"/>
        </w:rPr>
        <w:t xml:space="preserve">concrete evidence that </w:t>
      </w:r>
      <w:r w:rsidR="00CB573F" w:rsidRPr="00B12B0D">
        <w:rPr>
          <w:sz w:val="22"/>
          <w:szCs w:val="22"/>
          <w:lang w:bidi="en-US"/>
        </w:rPr>
        <w:t xml:space="preserve">a youth is disruptive to the juvenile facility.  </w:t>
      </w:r>
      <w:r w:rsidR="00B71F13" w:rsidRPr="00B12B0D">
        <w:rPr>
          <w:sz w:val="22"/>
          <w:szCs w:val="22"/>
          <w:lang w:bidi="en-US"/>
        </w:rPr>
        <w:t xml:space="preserve"> </w:t>
      </w:r>
    </w:p>
    <w:p w:rsidR="00F748C1" w:rsidRPr="00B12B0D" w:rsidRDefault="00F748C1" w:rsidP="000F623D">
      <w:pPr>
        <w:rPr>
          <w:sz w:val="22"/>
          <w:szCs w:val="22"/>
          <w:lang w:bidi="en-US"/>
        </w:rPr>
      </w:pPr>
    </w:p>
    <w:p w:rsidR="0041577C" w:rsidRPr="00B12B0D" w:rsidRDefault="00321958" w:rsidP="000F623D">
      <w:pPr>
        <w:rPr>
          <w:sz w:val="22"/>
          <w:szCs w:val="22"/>
          <w:lang w:bidi="en-US"/>
        </w:rPr>
      </w:pPr>
      <w:r w:rsidRPr="00B12B0D">
        <w:rPr>
          <w:sz w:val="22"/>
          <w:szCs w:val="22"/>
          <w:lang w:bidi="en-US"/>
        </w:rPr>
        <w:t xml:space="preserve">Second, youth </w:t>
      </w:r>
      <w:r w:rsidR="008A50D0" w:rsidRPr="00B12B0D">
        <w:rPr>
          <w:sz w:val="22"/>
          <w:szCs w:val="22"/>
          <w:lang w:bidi="en-US"/>
        </w:rPr>
        <w:t xml:space="preserve">should never be housed in an adult facility without a </w:t>
      </w:r>
      <w:r w:rsidR="006D5EA2" w:rsidRPr="00B12B0D">
        <w:rPr>
          <w:sz w:val="22"/>
          <w:szCs w:val="22"/>
          <w:lang w:bidi="en-US"/>
        </w:rPr>
        <w:t xml:space="preserve">court making a full investigation </w:t>
      </w:r>
      <w:r w:rsidR="00475153" w:rsidRPr="00B12B0D">
        <w:rPr>
          <w:sz w:val="22"/>
          <w:szCs w:val="22"/>
          <w:lang w:bidi="en-US"/>
        </w:rPr>
        <w:t xml:space="preserve">into the circumstances </w:t>
      </w:r>
      <w:r w:rsidR="00B54568" w:rsidRPr="00B12B0D">
        <w:rPr>
          <w:sz w:val="22"/>
          <w:szCs w:val="22"/>
          <w:lang w:bidi="en-US"/>
        </w:rPr>
        <w:t xml:space="preserve">why </w:t>
      </w:r>
      <w:r w:rsidR="004E02DD" w:rsidRPr="00B12B0D">
        <w:rPr>
          <w:sz w:val="22"/>
          <w:szCs w:val="22"/>
          <w:lang w:bidi="en-US"/>
        </w:rPr>
        <w:t xml:space="preserve">the youth has been unsuccessful in the juvenile facility.  </w:t>
      </w:r>
      <w:r w:rsidR="0041577C" w:rsidRPr="00B12B0D">
        <w:rPr>
          <w:sz w:val="22"/>
          <w:szCs w:val="22"/>
          <w:lang w:bidi="en-US"/>
        </w:rPr>
        <w:t xml:space="preserve">We know that victims of sexual assault may engage in destructive behavior to escape from sexual assaults.  This behavior can </w:t>
      </w:r>
      <w:r w:rsidR="00BA564C" w:rsidRPr="00B12B0D">
        <w:rPr>
          <w:sz w:val="22"/>
          <w:szCs w:val="22"/>
          <w:lang w:bidi="en-US"/>
        </w:rPr>
        <w:t xml:space="preserve">also </w:t>
      </w:r>
      <w:r w:rsidR="0041577C" w:rsidRPr="00B12B0D">
        <w:rPr>
          <w:sz w:val="22"/>
          <w:szCs w:val="22"/>
          <w:lang w:bidi="en-US"/>
        </w:rPr>
        <w:t xml:space="preserve">include assaults on staff.  Dr. Barry Krisberg, </w:t>
      </w:r>
      <w:r w:rsidR="00056BED" w:rsidRPr="00B12B0D">
        <w:rPr>
          <w:sz w:val="22"/>
          <w:szCs w:val="22"/>
          <w:lang w:bidi="en-US"/>
        </w:rPr>
        <w:t>former p</w:t>
      </w:r>
      <w:r w:rsidR="0041577C" w:rsidRPr="00B12B0D">
        <w:rPr>
          <w:sz w:val="22"/>
          <w:szCs w:val="22"/>
          <w:lang w:bidi="en-US"/>
        </w:rPr>
        <w:t>resident of the National Council on Crime and Delinquency</w:t>
      </w:r>
      <w:r w:rsidR="001F5372" w:rsidRPr="00B12B0D">
        <w:rPr>
          <w:sz w:val="22"/>
          <w:szCs w:val="22"/>
          <w:lang w:bidi="en-US"/>
        </w:rPr>
        <w:t xml:space="preserve"> and current Distinguished Senior Fellow and Lecturer in Residence at the Berkeley Center for Criminal Justice,</w:t>
      </w:r>
      <w:r w:rsidR="0041577C" w:rsidRPr="00B12B0D">
        <w:rPr>
          <w:sz w:val="22"/>
          <w:szCs w:val="22"/>
          <w:lang w:bidi="en-US"/>
        </w:rPr>
        <w:t xml:space="preserve"> testified before the National Prison Rape Elimination Commission that many youth become disciplinary problems as a self-protective mechanism: </w:t>
      </w:r>
    </w:p>
    <w:p w:rsidR="0041577C" w:rsidRPr="00B12B0D" w:rsidRDefault="0041577C" w:rsidP="000F623D">
      <w:pPr>
        <w:rPr>
          <w:sz w:val="22"/>
          <w:szCs w:val="22"/>
          <w:lang w:bidi="en-US"/>
        </w:rPr>
      </w:pPr>
    </w:p>
    <w:p w:rsidR="0041577C" w:rsidRPr="00B12B0D" w:rsidRDefault="0041577C" w:rsidP="000F623D">
      <w:pPr>
        <w:ind w:left="720"/>
        <w:rPr>
          <w:sz w:val="22"/>
          <w:szCs w:val="22"/>
          <w:lang w:bidi="en-US"/>
        </w:rPr>
      </w:pPr>
      <w:r w:rsidRPr="00B12B0D">
        <w:rPr>
          <w:sz w:val="22"/>
          <w:szCs w:val="22"/>
          <w:lang w:bidi="en-US"/>
        </w:rPr>
        <w:t>What youth tended to do to protect themselves, particularly when the lights were out in the dormitory, was often to assault staff to get locked up, and they didn't mind being locked up 23 hours a day if that meant, as they would often say, not having to watch your back. So, you'd see staff, and, in fact, correctional officers and superintendents would routinely tell me that the lockup units were populated with essentially what they called protective custody cases. These were not gang-bangers, these were not violent youths, these were youth trying to escape the victimization that was going on in the dormitories. Another way out was to engage in abnormal behavior, like suicidal gestures, smearing feces on yourself or your bed, claiming that you were hearing voices, so that the psychologist and psychiatrist would, again, get you out of these terrible dormitories and into some single room where you'd feel some modicum of safety.</w:t>
      </w:r>
      <w:r w:rsidRPr="00B12B0D">
        <w:rPr>
          <w:sz w:val="22"/>
          <w:szCs w:val="22"/>
          <w:vertAlign w:val="superscript"/>
          <w:lang w:bidi="en-US"/>
        </w:rPr>
        <w:footnoteReference w:id="25"/>
      </w:r>
    </w:p>
    <w:p w:rsidR="006B71A7" w:rsidRPr="00B12B0D" w:rsidRDefault="006B71A7" w:rsidP="000F623D">
      <w:pPr>
        <w:rPr>
          <w:sz w:val="22"/>
          <w:szCs w:val="22"/>
          <w:lang w:bidi="en-US"/>
        </w:rPr>
      </w:pPr>
    </w:p>
    <w:p w:rsidR="00BB18E5" w:rsidRPr="00B12B0D" w:rsidRDefault="00A279E1" w:rsidP="000F623D">
      <w:pPr>
        <w:rPr>
          <w:sz w:val="22"/>
          <w:szCs w:val="22"/>
        </w:rPr>
      </w:pPr>
      <w:r w:rsidRPr="00B12B0D">
        <w:rPr>
          <w:sz w:val="22"/>
          <w:szCs w:val="22"/>
          <w:lang w:bidi="en-US"/>
        </w:rPr>
        <w:t xml:space="preserve">Our proposal would require that </w:t>
      </w:r>
      <w:r w:rsidR="00F07E92" w:rsidRPr="00B12B0D">
        <w:rPr>
          <w:sz w:val="22"/>
          <w:szCs w:val="22"/>
          <w:lang w:bidi="en-US"/>
        </w:rPr>
        <w:t xml:space="preserve">before a youth could be transferred to an adult facility, a court must conduct a hearing, with the </w:t>
      </w:r>
      <w:r w:rsidRPr="00B12B0D">
        <w:rPr>
          <w:sz w:val="22"/>
          <w:szCs w:val="22"/>
          <w:lang w:bidi="en-US"/>
        </w:rPr>
        <w:t>youth represented by counsel and physically present</w:t>
      </w:r>
      <w:r w:rsidR="00F07E92" w:rsidRPr="00B12B0D">
        <w:rPr>
          <w:sz w:val="22"/>
          <w:szCs w:val="22"/>
          <w:lang w:bidi="en-US"/>
        </w:rPr>
        <w:t xml:space="preserve">, </w:t>
      </w:r>
      <w:r w:rsidRPr="00B12B0D">
        <w:rPr>
          <w:sz w:val="22"/>
          <w:szCs w:val="22"/>
          <w:lang w:bidi="en-US"/>
        </w:rPr>
        <w:t>so the judge c</w:t>
      </w:r>
      <w:r w:rsidR="00F07E92" w:rsidRPr="00B12B0D">
        <w:rPr>
          <w:sz w:val="22"/>
          <w:szCs w:val="22"/>
          <w:lang w:bidi="en-US"/>
        </w:rPr>
        <w:t>an</w:t>
      </w:r>
      <w:r w:rsidRPr="00B12B0D">
        <w:rPr>
          <w:sz w:val="22"/>
          <w:szCs w:val="22"/>
          <w:lang w:bidi="en-US"/>
        </w:rPr>
        <w:t xml:space="preserve"> </w:t>
      </w:r>
      <w:r w:rsidR="00FF255C" w:rsidRPr="00B12B0D">
        <w:rPr>
          <w:sz w:val="22"/>
          <w:szCs w:val="22"/>
          <w:lang w:bidi="en-US"/>
        </w:rPr>
        <w:t>have a</w:t>
      </w:r>
      <w:r w:rsidR="00633580" w:rsidRPr="00B12B0D">
        <w:rPr>
          <w:sz w:val="22"/>
          <w:szCs w:val="22"/>
          <w:lang w:bidi="en-US"/>
        </w:rPr>
        <w:t xml:space="preserve"> complete understanding of the issues.  </w:t>
      </w:r>
      <w:r w:rsidR="00D84C24" w:rsidRPr="00B12B0D">
        <w:rPr>
          <w:sz w:val="22"/>
          <w:szCs w:val="22"/>
        </w:rPr>
        <w:t xml:space="preserve">Given their previous histories of trauma and victimization, we know that some youth </w:t>
      </w:r>
      <w:r w:rsidR="00D67D4D" w:rsidRPr="00B12B0D">
        <w:rPr>
          <w:sz w:val="22"/>
          <w:szCs w:val="22"/>
        </w:rPr>
        <w:t>will pose behavioral challenges</w:t>
      </w:r>
      <w:r w:rsidR="00BB18E5" w:rsidRPr="00B12B0D">
        <w:rPr>
          <w:sz w:val="22"/>
          <w:szCs w:val="22"/>
        </w:rPr>
        <w:t xml:space="preserve"> and may appear guarded, oppositional, angry, </w:t>
      </w:r>
      <w:r w:rsidR="00BB18E5" w:rsidRPr="00B12B0D">
        <w:rPr>
          <w:sz w:val="22"/>
          <w:szCs w:val="22"/>
        </w:rPr>
        <w:lastRenderedPageBreak/>
        <w:t>defensive, or manipulative</w:t>
      </w:r>
      <w:r w:rsidR="00B901D6" w:rsidRPr="00B12B0D">
        <w:rPr>
          <w:sz w:val="22"/>
          <w:szCs w:val="22"/>
        </w:rPr>
        <w:t>.</w:t>
      </w:r>
      <w:r w:rsidR="00B901D6" w:rsidRPr="00B12B0D">
        <w:rPr>
          <w:sz w:val="22"/>
          <w:szCs w:val="22"/>
          <w:vertAlign w:val="superscript"/>
        </w:rPr>
        <w:footnoteReference w:id="26"/>
      </w:r>
      <w:r w:rsidR="00B901D6" w:rsidRPr="00B12B0D">
        <w:rPr>
          <w:sz w:val="22"/>
          <w:szCs w:val="22"/>
        </w:rPr>
        <w:t xml:space="preserve"> Stress from a traumatic event may interfere with a child’s capacity to listen or reason, and punitive interventions typically exacerbate behaviors of concern.</w:t>
      </w:r>
      <w:r w:rsidR="00B901D6" w:rsidRPr="00B12B0D">
        <w:rPr>
          <w:sz w:val="22"/>
          <w:szCs w:val="22"/>
          <w:vertAlign w:val="superscript"/>
        </w:rPr>
        <w:footnoteReference w:id="27"/>
      </w:r>
      <w:r w:rsidR="00B901D6" w:rsidRPr="00B12B0D">
        <w:rPr>
          <w:sz w:val="22"/>
          <w:szCs w:val="22"/>
        </w:rPr>
        <w:t xml:space="preserve">  Our revisions require the </w:t>
      </w:r>
      <w:r w:rsidR="00BB18E5" w:rsidRPr="00B12B0D">
        <w:rPr>
          <w:sz w:val="22"/>
          <w:szCs w:val="22"/>
        </w:rPr>
        <w:t>Court to consider a youth’s prior victimization and to consult with medical and mental health practitioners when determining an appropriate intervention or sanction.</w:t>
      </w:r>
      <w:r w:rsidR="00614A47" w:rsidRPr="00B12B0D">
        <w:rPr>
          <w:sz w:val="22"/>
          <w:szCs w:val="22"/>
        </w:rPr>
        <w:t xml:space="preserve">  The court is prohibited from transferring a youth to an adult facility as part of a sanction for conduct in the juvenile facility</w:t>
      </w:r>
      <w:r w:rsidR="00651A07" w:rsidRPr="00B12B0D">
        <w:rPr>
          <w:sz w:val="22"/>
          <w:szCs w:val="22"/>
        </w:rPr>
        <w:t>.</w:t>
      </w:r>
      <w:r w:rsidR="00614A47" w:rsidRPr="00B12B0D">
        <w:rPr>
          <w:sz w:val="22"/>
          <w:szCs w:val="22"/>
        </w:rPr>
        <w:t xml:space="preserve"> </w:t>
      </w:r>
    </w:p>
    <w:p w:rsidR="00B901D6" w:rsidRPr="00B12B0D" w:rsidRDefault="00B901D6" w:rsidP="000F623D">
      <w:pPr>
        <w:rPr>
          <w:sz w:val="22"/>
          <w:szCs w:val="22"/>
          <w:lang w:bidi="en-US"/>
        </w:rPr>
      </w:pPr>
    </w:p>
    <w:p w:rsidR="00F82011" w:rsidRPr="00B12B0D" w:rsidRDefault="00F82011" w:rsidP="000F623D">
      <w:pPr>
        <w:rPr>
          <w:sz w:val="22"/>
          <w:szCs w:val="22"/>
          <w:lang w:bidi="en-US"/>
        </w:rPr>
      </w:pPr>
      <w:r w:rsidRPr="00B12B0D">
        <w:rPr>
          <w:sz w:val="22"/>
          <w:szCs w:val="22"/>
          <w:lang w:bidi="en-US"/>
        </w:rPr>
        <w:t xml:space="preserve">Finally, for </w:t>
      </w:r>
      <w:r w:rsidR="00372430" w:rsidRPr="00B12B0D">
        <w:rPr>
          <w:sz w:val="22"/>
          <w:szCs w:val="22"/>
          <w:lang w:bidi="en-US"/>
        </w:rPr>
        <w:t xml:space="preserve">the few youth who </w:t>
      </w:r>
      <w:r w:rsidR="00057B9B" w:rsidRPr="00B12B0D">
        <w:rPr>
          <w:sz w:val="22"/>
          <w:szCs w:val="22"/>
          <w:lang w:bidi="en-US"/>
        </w:rPr>
        <w:t xml:space="preserve">may </w:t>
      </w:r>
      <w:r w:rsidR="00372430" w:rsidRPr="00B12B0D">
        <w:rPr>
          <w:sz w:val="22"/>
          <w:szCs w:val="22"/>
          <w:lang w:bidi="en-US"/>
        </w:rPr>
        <w:t xml:space="preserve">enter </w:t>
      </w:r>
      <w:r w:rsidRPr="00B12B0D">
        <w:rPr>
          <w:sz w:val="22"/>
          <w:szCs w:val="22"/>
          <w:lang w:bidi="en-US"/>
        </w:rPr>
        <w:t xml:space="preserve">adult facilities, the regulations should contain </w:t>
      </w:r>
      <w:r w:rsidR="00475153" w:rsidRPr="00B12B0D">
        <w:rPr>
          <w:sz w:val="22"/>
          <w:szCs w:val="22"/>
          <w:lang w:bidi="en-US"/>
        </w:rPr>
        <w:t xml:space="preserve">additional </w:t>
      </w:r>
      <w:r w:rsidRPr="00B12B0D">
        <w:rPr>
          <w:sz w:val="22"/>
          <w:szCs w:val="22"/>
          <w:lang w:bidi="en-US"/>
        </w:rPr>
        <w:t xml:space="preserve">protections </w:t>
      </w:r>
      <w:r w:rsidR="00637DD2" w:rsidRPr="00B12B0D">
        <w:rPr>
          <w:sz w:val="22"/>
          <w:szCs w:val="22"/>
          <w:lang w:bidi="en-US"/>
        </w:rPr>
        <w:t>including making sure that youth are sepa</w:t>
      </w:r>
      <w:r w:rsidR="00EB5BD1" w:rsidRPr="00B12B0D">
        <w:rPr>
          <w:sz w:val="22"/>
          <w:szCs w:val="22"/>
          <w:lang w:bidi="en-US"/>
        </w:rPr>
        <w:t>rated from the adult population, youth are</w:t>
      </w:r>
      <w:r w:rsidR="00637DD2" w:rsidRPr="00B12B0D">
        <w:rPr>
          <w:sz w:val="22"/>
          <w:szCs w:val="22"/>
          <w:lang w:bidi="en-US"/>
        </w:rPr>
        <w:t xml:space="preserve"> provided with programs and services to meet their developmental needs and opportunities </w:t>
      </w:r>
      <w:r w:rsidR="00EB5BD1" w:rsidRPr="00B12B0D">
        <w:rPr>
          <w:sz w:val="22"/>
          <w:szCs w:val="22"/>
          <w:lang w:bidi="en-US"/>
        </w:rPr>
        <w:t xml:space="preserve">for social interaction, and </w:t>
      </w:r>
      <w:r w:rsidR="00372430" w:rsidRPr="00B12B0D">
        <w:rPr>
          <w:sz w:val="22"/>
          <w:szCs w:val="22"/>
          <w:lang w:bidi="en-US"/>
        </w:rPr>
        <w:t xml:space="preserve">staff </w:t>
      </w:r>
      <w:r w:rsidR="00637DD2" w:rsidRPr="00B12B0D">
        <w:rPr>
          <w:sz w:val="22"/>
          <w:szCs w:val="22"/>
          <w:lang w:bidi="en-US"/>
        </w:rPr>
        <w:t>work</w:t>
      </w:r>
      <w:r w:rsidR="00EB5BD1" w:rsidRPr="00B12B0D">
        <w:rPr>
          <w:sz w:val="22"/>
          <w:szCs w:val="22"/>
          <w:lang w:bidi="en-US"/>
        </w:rPr>
        <w:t xml:space="preserve">ing with youth have the necessary training. </w:t>
      </w:r>
      <w:r w:rsidR="00651A07" w:rsidRPr="00B12B0D">
        <w:rPr>
          <w:sz w:val="22"/>
          <w:szCs w:val="22"/>
          <w:lang w:bidi="en-US"/>
        </w:rPr>
        <w:t xml:space="preserve"> Every 10 days, the court must review the decision to house a youth in the adult facility to determine if the youth should return to the juvenile facility.</w:t>
      </w:r>
    </w:p>
    <w:p w:rsidR="00F82011" w:rsidRDefault="00F82011" w:rsidP="000F623D">
      <w:pPr>
        <w:rPr>
          <w:sz w:val="22"/>
          <w:szCs w:val="22"/>
          <w:lang w:bidi="en-US"/>
        </w:rPr>
      </w:pPr>
    </w:p>
    <w:p w:rsidR="00900465" w:rsidRDefault="00900465" w:rsidP="00F82011">
      <w:pPr>
        <w:jc w:val="both"/>
        <w:rPr>
          <w:sz w:val="22"/>
          <w:szCs w:val="22"/>
          <w:lang w:bidi="en-US"/>
        </w:rPr>
      </w:pPr>
      <w:r w:rsidRPr="00900465">
        <w:rPr>
          <w:sz w:val="22"/>
          <w:szCs w:val="22"/>
          <w:lang w:bidi="en-US"/>
        </w:rPr>
        <w:t xml:space="preserve">The Department should </w:t>
      </w:r>
      <w:r>
        <w:rPr>
          <w:sz w:val="22"/>
          <w:szCs w:val="22"/>
          <w:lang w:bidi="en-US"/>
        </w:rPr>
        <w:t xml:space="preserve">consider the following language for </w:t>
      </w:r>
      <w:r w:rsidR="00080388">
        <w:rPr>
          <w:sz w:val="22"/>
          <w:szCs w:val="22"/>
          <w:lang w:bidi="en-US"/>
        </w:rPr>
        <w:t xml:space="preserve">a </w:t>
      </w:r>
      <w:r>
        <w:rPr>
          <w:sz w:val="22"/>
          <w:szCs w:val="22"/>
          <w:lang w:bidi="en-US"/>
        </w:rPr>
        <w:t>standard</w:t>
      </w:r>
      <w:r w:rsidR="00080388">
        <w:rPr>
          <w:sz w:val="22"/>
          <w:szCs w:val="22"/>
          <w:lang w:bidi="en-US"/>
        </w:rPr>
        <w:t xml:space="preserve"> to </w:t>
      </w:r>
      <w:r>
        <w:rPr>
          <w:sz w:val="22"/>
          <w:szCs w:val="22"/>
          <w:lang w:bidi="en-US"/>
        </w:rPr>
        <w:t xml:space="preserve">:  </w:t>
      </w:r>
    </w:p>
    <w:p w:rsidR="00900465" w:rsidRPr="00B12B0D" w:rsidRDefault="00900465" w:rsidP="00F82011">
      <w:pPr>
        <w:jc w:val="both"/>
        <w:rPr>
          <w:sz w:val="22"/>
          <w:szCs w:val="22"/>
          <w:lang w:bidi="en-US"/>
        </w:rPr>
      </w:pPr>
    </w:p>
    <w:p w:rsidR="00187CD3" w:rsidRPr="00B12B0D" w:rsidRDefault="00D369DB" w:rsidP="00187CD3">
      <w:pPr>
        <w:rPr>
          <w:rFonts w:eastAsia="Calibri"/>
          <w:b/>
          <w:sz w:val="22"/>
          <w:szCs w:val="22"/>
        </w:rPr>
      </w:pPr>
      <w:r w:rsidRPr="00B12B0D">
        <w:rPr>
          <w:rFonts w:eastAsia="Calibri"/>
          <w:b/>
          <w:sz w:val="22"/>
          <w:szCs w:val="22"/>
        </w:rPr>
        <w:t>Alternate</w:t>
      </w:r>
      <w:r w:rsidR="00187CD3" w:rsidRPr="00B12B0D">
        <w:rPr>
          <w:rFonts w:eastAsia="Calibri"/>
          <w:b/>
          <w:sz w:val="22"/>
          <w:szCs w:val="22"/>
        </w:rPr>
        <w:t xml:space="preserve"> § 115.44 Prohibition on housing juveniles in adult facilities</w:t>
      </w:r>
    </w:p>
    <w:p w:rsidR="00187CD3" w:rsidRPr="00B12B0D" w:rsidRDefault="00187CD3" w:rsidP="00187CD3">
      <w:pPr>
        <w:rPr>
          <w:rFonts w:eastAsia="Calibri"/>
          <w:sz w:val="22"/>
          <w:szCs w:val="22"/>
        </w:rPr>
      </w:pPr>
    </w:p>
    <w:p w:rsidR="00187CD3" w:rsidRPr="00B12B0D" w:rsidRDefault="00187CD3" w:rsidP="00187CD3">
      <w:pPr>
        <w:ind w:left="720"/>
        <w:rPr>
          <w:rFonts w:eastAsia="Calibri"/>
          <w:sz w:val="22"/>
          <w:szCs w:val="22"/>
        </w:rPr>
      </w:pPr>
      <w:r w:rsidRPr="00B12B0D">
        <w:rPr>
          <w:rFonts w:eastAsia="Calibri"/>
          <w:sz w:val="22"/>
          <w:szCs w:val="22"/>
        </w:rPr>
        <w:t xml:space="preserve">(a) No person under the age of 18 may be housed in a jail or prison, except under the special circumstances and after specific procedures detailed in paragraphs (b) and (e) of this section have been undertaken  </w:t>
      </w:r>
    </w:p>
    <w:p w:rsidR="00187CD3" w:rsidRPr="00B12B0D" w:rsidRDefault="00187CD3" w:rsidP="00187CD3">
      <w:pPr>
        <w:rPr>
          <w:rFonts w:eastAsia="Calibri"/>
          <w:sz w:val="22"/>
          <w:szCs w:val="22"/>
        </w:rPr>
      </w:pPr>
    </w:p>
    <w:p w:rsidR="00187CD3" w:rsidRPr="00B12B0D" w:rsidRDefault="00187CD3" w:rsidP="00187CD3">
      <w:pPr>
        <w:ind w:left="720"/>
        <w:rPr>
          <w:rFonts w:eastAsia="Calibri"/>
          <w:sz w:val="22"/>
          <w:szCs w:val="22"/>
        </w:rPr>
      </w:pPr>
      <w:r w:rsidRPr="00B12B0D">
        <w:rPr>
          <w:rFonts w:eastAsia="Calibri"/>
          <w:sz w:val="22"/>
          <w:szCs w:val="22"/>
        </w:rPr>
        <w:t>(b) The adult agency shall enter into memoranda of understanding or other agreements with juvenile justice agencies to receive and immediately house all persons under the age of 18 who are currently, or in the future, assigned to its care.</w:t>
      </w:r>
    </w:p>
    <w:p w:rsidR="00187CD3" w:rsidRPr="00B12B0D" w:rsidRDefault="00187CD3" w:rsidP="00187CD3">
      <w:pPr>
        <w:ind w:left="720"/>
        <w:rPr>
          <w:rFonts w:eastAsia="Calibri"/>
          <w:sz w:val="22"/>
          <w:szCs w:val="22"/>
        </w:rPr>
      </w:pPr>
    </w:p>
    <w:p w:rsidR="00187CD3" w:rsidRPr="00B12B0D" w:rsidRDefault="00187CD3" w:rsidP="00664C1A">
      <w:pPr>
        <w:ind w:left="720"/>
        <w:rPr>
          <w:rFonts w:eastAsia="Calibri"/>
          <w:sz w:val="22"/>
          <w:szCs w:val="22"/>
        </w:rPr>
      </w:pPr>
      <w:r w:rsidRPr="00B12B0D">
        <w:rPr>
          <w:rFonts w:eastAsia="Calibri"/>
          <w:sz w:val="22"/>
          <w:szCs w:val="22"/>
        </w:rPr>
        <w:t>(c) No person under the age of 18 may be transferred to a jail or prison without a written court order</w:t>
      </w:r>
      <w:r w:rsidR="00664C1A" w:rsidRPr="00B12B0D">
        <w:rPr>
          <w:rFonts w:eastAsia="Calibri"/>
          <w:sz w:val="22"/>
          <w:szCs w:val="22"/>
        </w:rPr>
        <w:t xml:space="preserve"> </w:t>
      </w:r>
      <w:r w:rsidRPr="00B12B0D">
        <w:rPr>
          <w:rFonts w:eastAsia="Calibri"/>
          <w:sz w:val="22"/>
          <w:szCs w:val="22"/>
        </w:rPr>
        <w:t>after notice and evidentiary hearing, with the youth and his/her counsel present and able to participate, with findings that the youth has:</w:t>
      </w:r>
    </w:p>
    <w:p w:rsidR="00187CD3" w:rsidRPr="00B12B0D" w:rsidRDefault="00187CD3" w:rsidP="00187CD3">
      <w:pPr>
        <w:ind w:left="720"/>
        <w:rPr>
          <w:rFonts w:eastAsia="Calibri"/>
          <w:sz w:val="22"/>
          <w:szCs w:val="22"/>
        </w:rPr>
      </w:pPr>
    </w:p>
    <w:p w:rsidR="004A2865" w:rsidRPr="00B12B0D" w:rsidRDefault="00187CD3" w:rsidP="00195BC8">
      <w:pPr>
        <w:ind w:left="1080"/>
        <w:rPr>
          <w:rFonts w:eastAsia="Calibri"/>
          <w:sz w:val="22"/>
          <w:szCs w:val="22"/>
        </w:rPr>
      </w:pPr>
      <w:r w:rsidRPr="00B12B0D">
        <w:rPr>
          <w:rFonts w:eastAsia="Calibri"/>
          <w:sz w:val="22"/>
          <w:szCs w:val="22"/>
        </w:rPr>
        <w:t>(1) Seriously injured or endangered the life or health of another youth resident or staff member in the juvenile facility or program;</w:t>
      </w:r>
      <w:r w:rsidR="00C354EA" w:rsidRPr="00B12B0D">
        <w:rPr>
          <w:rFonts w:eastAsia="Calibri"/>
          <w:sz w:val="22"/>
          <w:szCs w:val="22"/>
        </w:rPr>
        <w:t xml:space="preserve"> </w:t>
      </w:r>
      <w:r w:rsidR="00F23C97" w:rsidRPr="00B12B0D">
        <w:rPr>
          <w:rFonts w:eastAsia="Calibri"/>
          <w:sz w:val="22"/>
          <w:szCs w:val="22"/>
        </w:rPr>
        <w:t xml:space="preserve">or </w:t>
      </w:r>
      <w:r w:rsidR="00951D40" w:rsidRPr="00B12B0D">
        <w:rPr>
          <w:rFonts w:eastAsia="Calibri"/>
          <w:sz w:val="22"/>
          <w:szCs w:val="22"/>
        </w:rPr>
        <w:t>e</w:t>
      </w:r>
      <w:r w:rsidRPr="00B12B0D">
        <w:rPr>
          <w:rFonts w:eastAsia="Calibri"/>
          <w:sz w:val="22"/>
          <w:szCs w:val="22"/>
        </w:rPr>
        <w:t>scaped from the juvenile facility or program; or</w:t>
      </w:r>
      <w:r w:rsidR="00951D40" w:rsidRPr="00B12B0D">
        <w:rPr>
          <w:rFonts w:eastAsia="Calibri"/>
          <w:sz w:val="22"/>
          <w:szCs w:val="22"/>
        </w:rPr>
        <w:t xml:space="preserve"> e</w:t>
      </w:r>
      <w:r w:rsidRPr="00B12B0D">
        <w:rPr>
          <w:rFonts w:eastAsia="Calibri"/>
          <w:sz w:val="22"/>
          <w:szCs w:val="22"/>
        </w:rPr>
        <w:t>stablished a pattern of disruptive behavior not conducive to the established policies and procedures of the juvenile program</w:t>
      </w:r>
      <w:r w:rsidR="00664C1A" w:rsidRPr="00B12B0D">
        <w:rPr>
          <w:rFonts w:eastAsia="Calibri"/>
          <w:sz w:val="22"/>
          <w:szCs w:val="22"/>
        </w:rPr>
        <w:t xml:space="preserve">; and </w:t>
      </w:r>
    </w:p>
    <w:p w:rsidR="004A2865" w:rsidRPr="00B12B0D" w:rsidRDefault="004A2865" w:rsidP="00187CD3">
      <w:pPr>
        <w:ind w:left="1080"/>
        <w:rPr>
          <w:rFonts w:eastAsia="Calibri"/>
          <w:sz w:val="22"/>
          <w:szCs w:val="22"/>
        </w:rPr>
      </w:pPr>
    </w:p>
    <w:p w:rsidR="00187CD3" w:rsidRPr="00B12B0D" w:rsidRDefault="00664C1A" w:rsidP="00187CD3">
      <w:pPr>
        <w:ind w:left="1080"/>
        <w:rPr>
          <w:rFonts w:eastAsia="Calibri"/>
          <w:sz w:val="22"/>
          <w:szCs w:val="22"/>
        </w:rPr>
      </w:pPr>
      <w:r w:rsidRPr="00B12B0D">
        <w:rPr>
          <w:rFonts w:eastAsia="Calibri"/>
          <w:sz w:val="22"/>
          <w:szCs w:val="22"/>
        </w:rPr>
        <w:t>(</w:t>
      </w:r>
      <w:r w:rsidR="0045386D" w:rsidRPr="00B12B0D">
        <w:rPr>
          <w:rFonts w:eastAsia="Calibri"/>
          <w:sz w:val="22"/>
          <w:szCs w:val="22"/>
        </w:rPr>
        <w:t>2</w:t>
      </w:r>
      <w:r w:rsidRPr="00B12B0D">
        <w:rPr>
          <w:rFonts w:eastAsia="Calibri"/>
          <w:sz w:val="22"/>
          <w:szCs w:val="22"/>
        </w:rPr>
        <w:t>) T</w:t>
      </w:r>
      <w:r w:rsidR="004A2865" w:rsidRPr="00B12B0D">
        <w:rPr>
          <w:rFonts w:eastAsia="Calibri"/>
          <w:sz w:val="22"/>
          <w:szCs w:val="22"/>
        </w:rPr>
        <w:t xml:space="preserve">he </w:t>
      </w:r>
      <w:r w:rsidRPr="00B12B0D">
        <w:rPr>
          <w:rFonts w:eastAsia="Calibri"/>
          <w:sz w:val="22"/>
          <w:szCs w:val="22"/>
        </w:rPr>
        <w:t xml:space="preserve">youth’s </w:t>
      </w:r>
      <w:r w:rsidR="004A2865" w:rsidRPr="00B12B0D">
        <w:rPr>
          <w:rFonts w:eastAsia="Calibri"/>
          <w:sz w:val="22"/>
          <w:szCs w:val="22"/>
        </w:rPr>
        <w:t xml:space="preserve">behavior cannot be safely managed by disciplinary procedures </w:t>
      </w:r>
      <w:r w:rsidR="00C86503" w:rsidRPr="00B12B0D">
        <w:rPr>
          <w:rFonts w:eastAsia="Calibri"/>
          <w:sz w:val="22"/>
          <w:szCs w:val="22"/>
        </w:rPr>
        <w:t xml:space="preserve">in </w:t>
      </w:r>
      <w:r w:rsidR="004A2865" w:rsidRPr="00B12B0D">
        <w:rPr>
          <w:rFonts w:eastAsia="Calibri"/>
          <w:sz w:val="22"/>
          <w:szCs w:val="22"/>
        </w:rPr>
        <w:t xml:space="preserve">the juvenile facility.  </w:t>
      </w:r>
      <w:r w:rsidR="00451F98" w:rsidRPr="00B12B0D">
        <w:rPr>
          <w:rFonts w:eastAsia="Calibri"/>
          <w:sz w:val="22"/>
          <w:szCs w:val="22"/>
        </w:rPr>
        <w:t xml:space="preserve">The court </w:t>
      </w:r>
      <w:r w:rsidR="00BE579B" w:rsidRPr="00B12B0D">
        <w:rPr>
          <w:rFonts w:eastAsia="Calibri"/>
          <w:sz w:val="22"/>
          <w:szCs w:val="22"/>
        </w:rPr>
        <w:t xml:space="preserve">shall consult with medical and mental health practitioners </w:t>
      </w:r>
      <w:r w:rsidR="00451F98" w:rsidRPr="00B12B0D">
        <w:rPr>
          <w:rFonts w:eastAsia="Calibri"/>
          <w:sz w:val="22"/>
          <w:szCs w:val="22"/>
        </w:rPr>
        <w:t xml:space="preserve">to determine whether a youth’s mental disabilities, mental illness, or previous history of victimization contributed to his or her behavior when determining an appropriate course of action.  </w:t>
      </w:r>
      <w:r w:rsidR="00187CD3" w:rsidRPr="00B12B0D">
        <w:rPr>
          <w:rFonts w:eastAsia="Calibri"/>
          <w:sz w:val="22"/>
          <w:szCs w:val="22"/>
        </w:rPr>
        <w:t xml:space="preserve">While the disciplinary history of the youth may impact the recommendation to transfer the youth to the adult facility, the transfer </w:t>
      </w:r>
      <w:r w:rsidR="005775C4" w:rsidRPr="00B12B0D">
        <w:rPr>
          <w:rFonts w:eastAsia="Calibri"/>
          <w:sz w:val="22"/>
          <w:szCs w:val="22"/>
        </w:rPr>
        <w:t xml:space="preserve">to an adult facility may </w:t>
      </w:r>
      <w:r w:rsidR="00187CD3" w:rsidRPr="00B12B0D">
        <w:rPr>
          <w:rFonts w:eastAsia="Calibri"/>
          <w:sz w:val="22"/>
          <w:szCs w:val="22"/>
        </w:rPr>
        <w:t xml:space="preserve">not be used as a disciplinary sanction or activity.   </w:t>
      </w:r>
    </w:p>
    <w:p w:rsidR="00187CD3" w:rsidRPr="00B12B0D" w:rsidRDefault="00187CD3" w:rsidP="00187CD3">
      <w:pPr>
        <w:ind w:left="720"/>
        <w:rPr>
          <w:rFonts w:eastAsia="Calibri"/>
          <w:sz w:val="22"/>
          <w:szCs w:val="22"/>
        </w:rPr>
      </w:pPr>
    </w:p>
    <w:p w:rsidR="00187CD3" w:rsidRPr="00B12B0D" w:rsidRDefault="00187CD3" w:rsidP="00187CD3">
      <w:pPr>
        <w:ind w:left="720"/>
        <w:rPr>
          <w:rFonts w:eastAsia="Calibri"/>
          <w:sz w:val="22"/>
          <w:szCs w:val="22"/>
        </w:rPr>
      </w:pPr>
      <w:r w:rsidRPr="00B12B0D">
        <w:rPr>
          <w:rFonts w:eastAsia="Calibri"/>
          <w:sz w:val="22"/>
          <w:szCs w:val="22"/>
        </w:rPr>
        <w:t>(d) If persons under the age of 18 are transferred to the facility pursuant to the court order, the facility shall:</w:t>
      </w:r>
    </w:p>
    <w:p w:rsidR="00187CD3" w:rsidRPr="00B12B0D" w:rsidRDefault="00187CD3" w:rsidP="00187CD3">
      <w:pPr>
        <w:ind w:firstLine="720"/>
        <w:rPr>
          <w:rFonts w:eastAsia="Calibri"/>
          <w:sz w:val="22"/>
          <w:szCs w:val="22"/>
        </w:rPr>
      </w:pPr>
    </w:p>
    <w:p w:rsidR="00187CD3" w:rsidRPr="00B12B0D" w:rsidRDefault="00187CD3" w:rsidP="00187CD3">
      <w:pPr>
        <w:ind w:left="1080"/>
        <w:rPr>
          <w:rFonts w:eastAsia="Calibri"/>
          <w:sz w:val="22"/>
          <w:szCs w:val="22"/>
        </w:rPr>
      </w:pPr>
      <w:r w:rsidRPr="00B12B0D">
        <w:rPr>
          <w:rFonts w:eastAsia="Calibri"/>
          <w:sz w:val="22"/>
          <w:szCs w:val="22"/>
        </w:rPr>
        <w:t>(1) Ensure youth do not have sight or sound contact with inmates over the age of 18;</w:t>
      </w:r>
    </w:p>
    <w:p w:rsidR="00187CD3" w:rsidRPr="00B12B0D" w:rsidRDefault="00187CD3" w:rsidP="00187CD3">
      <w:pPr>
        <w:ind w:left="1080"/>
        <w:rPr>
          <w:rFonts w:eastAsia="Calibri"/>
          <w:sz w:val="22"/>
          <w:szCs w:val="22"/>
        </w:rPr>
      </w:pPr>
    </w:p>
    <w:p w:rsidR="00187CD3" w:rsidRPr="00B12B0D" w:rsidRDefault="00187CD3" w:rsidP="00187CD3">
      <w:pPr>
        <w:ind w:left="1080"/>
        <w:rPr>
          <w:rFonts w:eastAsia="Calibri"/>
          <w:sz w:val="22"/>
          <w:szCs w:val="22"/>
        </w:rPr>
      </w:pPr>
      <w:r w:rsidRPr="00B12B0D">
        <w:rPr>
          <w:rFonts w:eastAsia="Calibri"/>
          <w:sz w:val="22"/>
          <w:szCs w:val="22"/>
        </w:rPr>
        <w:t>(2) Assess and provide programs and services to meet the special needs of youth including education comparable to that provided in the community, special diets to meet their nutritional needs, developmentally appropriate health and mental health care, daily opportunities for recreation and exercise</w:t>
      </w:r>
      <w:r w:rsidR="009172CE" w:rsidRPr="00B12B0D">
        <w:rPr>
          <w:rFonts w:eastAsia="Calibri"/>
          <w:sz w:val="22"/>
          <w:szCs w:val="22"/>
        </w:rPr>
        <w:t>, and contact visits with family members</w:t>
      </w:r>
      <w:r w:rsidRPr="00B12B0D">
        <w:rPr>
          <w:rFonts w:eastAsia="Calibri"/>
          <w:sz w:val="22"/>
          <w:szCs w:val="22"/>
        </w:rPr>
        <w:t xml:space="preserve">; </w:t>
      </w:r>
    </w:p>
    <w:p w:rsidR="00187CD3" w:rsidRPr="00B12B0D" w:rsidRDefault="00187CD3" w:rsidP="00187CD3">
      <w:pPr>
        <w:ind w:left="1080"/>
        <w:rPr>
          <w:rFonts w:eastAsia="Calibri"/>
          <w:sz w:val="22"/>
          <w:szCs w:val="22"/>
        </w:rPr>
      </w:pPr>
    </w:p>
    <w:p w:rsidR="00187CD3" w:rsidRPr="00B12B0D" w:rsidRDefault="00187CD3" w:rsidP="00187CD3">
      <w:pPr>
        <w:ind w:left="1080"/>
        <w:rPr>
          <w:rFonts w:eastAsia="Calibri"/>
          <w:sz w:val="22"/>
          <w:szCs w:val="22"/>
        </w:rPr>
      </w:pPr>
      <w:r w:rsidRPr="00B12B0D">
        <w:rPr>
          <w:rFonts w:eastAsia="Calibri"/>
          <w:sz w:val="22"/>
          <w:szCs w:val="22"/>
        </w:rPr>
        <w:t>(3) House youth in living conditions with adequate program space to meet the physical, social, and emotional needs of youth.  Facilities must allow for social contact with peers and may not isolate juveniles from other juveniles, unless the juvenile presents an immediate health and/or safety risk to other inmates or staff;</w:t>
      </w:r>
    </w:p>
    <w:p w:rsidR="00187CD3" w:rsidRPr="00B12B0D" w:rsidRDefault="00187CD3" w:rsidP="00187CD3">
      <w:pPr>
        <w:ind w:left="1080"/>
        <w:rPr>
          <w:rFonts w:eastAsia="Calibri"/>
          <w:sz w:val="22"/>
          <w:szCs w:val="22"/>
        </w:rPr>
      </w:pPr>
    </w:p>
    <w:p w:rsidR="00187CD3" w:rsidRPr="00B12B0D" w:rsidRDefault="00187CD3" w:rsidP="00187CD3">
      <w:pPr>
        <w:ind w:left="1080"/>
        <w:rPr>
          <w:rFonts w:eastAsia="Calibri"/>
          <w:sz w:val="22"/>
          <w:szCs w:val="22"/>
        </w:rPr>
      </w:pPr>
      <w:r w:rsidRPr="00B12B0D">
        <w:rPr>
          <w:rFonts w:eastAsia="Calibri"/>
          <w:sz w:val="22"/>
          <w:szCs w:val="22"/>
        </w:rPr>
        <w:t>(4) Ensure youth are visually checked by staff at least every 15 minutes; receive daily visits from mental health or health care providers; and have opportunities for social interaction including daily visits by personnel from administrative, clinical, social work, or religious units; and</w:t>
      </w:r>
    </w:p>
    <w:p w:rsidR="00187CD3" w:rsidRPr="00B12B0D" w:rsidRDefault="00187CD3" w:rsidP="00187CD3">
      <w:pPr>
        <w:ind w:left="720"/>
        <w:rPr>
          <w:rFonts w:eastAsia="Calibri"/>
          <w:sz w:val="22"/>
          <w:szCs w:val="22"/>
        </w:rPr>
      </w:pPr>
    </w:p>
    <w:p w:rsidR="00187CD3" w:rsidRPr="00B12B0D" w:rsidRDefault="00187CD3" w:rsidP="00187CD3">
      <w:pPr>
        <w:ind w:left="1080"/>
        <w:rPr>
          <w:rFonts w:eastAsia="Calibri"/>
          <w:sz w:val="22"/>
          <w:szCs w:val="22"/>
        </w:rPr>
      </w:pPr>
      <w:r w:rsidRPr="00B12B0D">
        <w:rPr>
          <w:rFonts w:eastAsia="Calibri"/>
          <w:sz w:val="22"/>
          <w:szCs w:val="22"/>
        </w:rPr>
        <w:t>(5) Ensure that employees working with persons under the age of 18 are trained in the developmental, safety, and other specific needs of youth including:</w:t>
      </w:r>
    </w:p>
    <w:p w:rsidR="00187CD3" w:rsidRPr="00B12B0D" w:rsidRDefault="00187CD3" w:rsidP="00187CD3">
      <w:pPr>
        <w:rPr>
          <w:rFonts w:eastAsia="Calibri"/>
          <w:sz w:val="22"/>
          <w:szCs w:val="22"/>
        </w:rPr>
      </w:pPr>
    </w:p>
    <w:p w:rsidR="00187CD3" w:rsidRPr="00B12B0D" w:rsidRDefault="00187CD3" w:rsidP="00187CD3">
      <w:pPr>
        <w:ind w:left="1440"/>
        <w:rPr>
          <w:rFonts w:eastAsia="Calibri"/>
          <w:sz w:val="22"/>
          <w:szCs w:val="22"/>
        </w:rPr>
      </w:pPr>
      <w:r w:rsidRPr="00B12B0D">
        <w:rPr>
          <w:rFonts w:eastAsia="Calibri"/>
          <w:sz w:val="22"/>
          <w:szCs w:val="22"/>
        </w:rPr>
        <w:t>(i) Adolescent development for girls and boys, including what is normative sexual behavior for adolescents, what is acceptable behavior of adolescents, how to distinguish between normative adolescent behavior and sexually aggressive and dangerous behaviors, the factors that make youth vulnerable to sexual abuse, how to handle disclosures of victimization by youth in a sensitive manner, and the ways in which sexual victimization can affect healthy development;</w:t>
      </w:r>
    </w:p>
    <w:p w:rsidR="00187CD3" w:rsidRPr="00B12B0D" w:rsidRDefault="00187CD3" w:rsidP="00187CD3">
      <w:pPr>
        <w:rPr>
          <w:rFonts w:eastAsia="Calibri"/>
          <w:sz w:val="22"/>
          <w:szCs w:val="22"/>
        </w:rPr>
      </w:pPr>
    </w:p>
    <w:p w:rsidR="00187CD3" w:rsidRPr="00B12B0D" w:rsidRDefault="00187CD3" w:rsidP="00187CD3">
      <w:pPr>
        <w:ind w:left="1440"/>
        <w:rPr>
          <w:rFonts w:eastAsia="Calibri"/>
          <w:sz w:val="22"/>
          <w:szCs w:val="22"/>
        </w:rPr>
      </w:pPr>
      <w:r w:rsidRPr="00B12B0D">
        <w:rPr>
          <w:rFonts w:eastAsia="Calibri"/>
          <w:sz w:val="22"/>
          <w:szCs w:val="22"/>
        </w:rPr>
        <w:t xml:space="preserve">(ii) The developmental and programming needs of youth; </w:t>
      </w:r>
    </w:p>
    <w:p w:rsidR="00187CD3" w:rsidRPr="00B12B0D" w:rsidRDefault="00187CD3" w:rsidP="00187CD3">
      <w:pPr>
        <w:rPr>
          <w:rFonts w:eastAsia="Calibri"/>
          <w:sz w:val="22"/>
          <w:szCs w:val="22"/>
        </w:rPr>
      </w:pPr>
    </w:p>
    <w:p w:rsidR="00187CD3" w:rsidRPr="00B12B0D" w:rsidRDefault="00187CD3" w:rsidP="00187CD3">
      <w:pPr>
        <w:ind w:left="1440"/>
        <w:rPr>
          <w:rFonts w:eastAsia="Calibri"/>
          <w:sz w:val="22"/>
          <w:szCs w:val="22"/>
        </w:rPr>
      </w:pPr>
      <w:r w:rsidRPr="00B12B0D">
        <w:rPr>
          <w:rFonts w:eastAsia="Calibri"/>
          <w:sz w:val="22"/>
          <w:szCs w:val="22"/>
        </w:rPr>
        <w:t xml:space="preserve">(iii) The prevalence of trauma and abuse histories of youth, possible behaviors of youth with trauma and abuse histories, and appropriate gender specific ways of responding to those behaviors; </w:t>
      </w:r>
    </w:p>
    <w:p w:rsidR="00187CD3" w:rsidRPr="00B12B0D" w:rsidRDefault="00187CD3" w:rsidP="00187CD3">
      <w:pPr>
        <w:rPr>
          <w:rFonts w:eastAsia="Calibri"/>
          <w:sz w:val="22"/>
          <w:szCs w:val="22"/>
        </w:rPr>
      </w:pPr>
    </w:p>
    <w:p w:rsidR="00187CD3" w:rsidRPr="00B12B0D" w:rsidRDefault="00187CD3" w:rsidP="00187CD3">
      <w:pPr>
        <w:ind w:left="1440"/>
        <w:rPr>
          <w:rFonts w:eastAsia="Calibri"/>
          <w:sz w:val="22"/>
          <w:szCs w:val="22"/>
        </w:rPr>
      </w:pPr>
      <w:r w:rsidRPr="00B12B0D">
        <w:rPr>
          <w:rFonts w:eastAsia="Calibri"/>
          <w:sz w:val="22"/>
          <w:szCs w:val="22"/>
        </w:rPr>
        <w:t xml:space="preserve">(iv) How to communicate effectively and professionally with specific populations of youth (e.g., gender, race, ethnicity, sexual orientation, gender identity, disability, or youth with limited English proficiency); </w:t>
      </w:r>
    </w:p>
    <w:p w:rsidR="00187CD3" w:rsidRPr="00B12B0D" w:rsidRDefault="00187CD3" w:rsidP="00187CD3">
      <w:pPr>
        <w:rPr>
          <w:rFonts w:eastAsia="Calibri"/>
          <w:sz w:val="22"/>
          <w:szCs w:val="22"/>
        </w:rPr>
      </w:pPr>
    </w:p>
    <w:p w:rsidR="00187CD3" w:rsidRPr="00B12B0D" w:rsidRDefault="00187CD3" w:rsidP="00187CD3">
      <w:pPr>
        <w:ind w:left="1440"/>
        <w:rPr>
          <w:rFonts w:eastAsia="Calibri"/>
          <w:sz w:val="22"/>
          <w:szCs w:val="22"/>
        </w:rPr>
      </w:pPr>
      <w:r w:rsidRPr="00B12B0D">
        <w:rPr>
          <w:rFonts w:eastAsia="Calibri"/>
          <w:sz w:val="22"/>
          <w:szCs w:val="22"/>
        </w:rPr>
        <w:t>(v) The mental health needs of youth including crisis prevention and intervention, suicide prevention, cognitive-behavioral interventions, and substance use and abuse.</w:t>
      </w:r>
    </w:p>
    <w:p w:rsidR="00187CD3" w:rsidRPr="00B12B0D" w:rsidRDefault="00187CD3" w:rsidP="00187CD3">
      <w:pPr>
        <w:rPr>
          <w:rFonts w:eastAsia="Calibri"/>
          <w:sz w:val="22"/>
          <w:szCs w:val="22"/>
        </w:rPr>
      </w:pPr>
      <w:r w:rsidRPr="00B12B0D">
        <w:rPr>
          <w:rFonts w:eastAsia="Calibri"/>
          <w:sz w:val="22"/>
          <w:szCs w:val="22"/>
        </w:rPr>
        <w:tab/>
      </w:r>
    </w:p>
    <w:p w:rsidR="00187CD3" w:rsidRPr="00B12B0D" w:rsidRDefault="00187CD3" w:rsidP="00187CD3">
      <w:pPr>
        <w:ind w:left="720"/>
        <w:rPr>
          <w:rFonts w:eastAsia="Calibri"/>
          <w:sz w:val="22"/>
          <w:szCs w:val="22"/>
        </w:rPr>
      </w:pPr>
      <w:r w:rsidRPr="00B12B0D">
        <w:rPr>
          <w:rFonts w:eastAsia="Calibri"/>
          <w:sz w:val="22"/>
          <w:szCs w:val="22"/>
        </w:rPr>
        <w:t>(e) The facility shall provide written progress reports on the behavior and welfare of the youth to the court at a</w:t>
      </w:r>
      <w:r w:rsidR="00E506CD" w:rsidRPr="00B12B0D">
        <w:rPr>
          <w:rFonts w:eastAsia="Calibri"/>
          <w:sz w:val="22"/>
          <w:szCs w:val="22"/>
        </w:rPr>
        <w:t xml:space="preserve">n </w:t>
      </w:r>
      <w:r w:rsidRPr="00B12B0D">
        <w:rPr>
          <w:rFonts w:eastAsia="Calibri"/>
          <w:sz w:val="22"/>
          <w:szCs w:val="22"/>
        </w:rPr>
        <w:t xml:space="preserve">evidentiary hearing, after notice, with the youth and counsel present, </w:t>
      </w:r>
      <w:r w:rsidR="00E506CD" w:rsidRPr="00B12B0D">
        <w:rPr>
          <w:rFonts w:eastAsia="Calibri"/>
          <w:sz w:val="22"/>
          <w:szCs w:val="22"/>
        </w:rPr>
        <w:t xml:space="preserve">every 10 days </w:t>
      </w:r>
      <w:r w:rsidRPr="00B12B0D">
        <w:rPr>
          <w:rFonts w:eastAsia="Calibri"/>
          <w:sz w:val="22"/>
          <w:szCs w:val="22"/>
        </w:rPr>
        <w:t>to determine whether the youth should be returned to a juvenile facility with the court providing written findings and placement determination.</w:t>
      </w:r>
    </w:p>
    <w:p w:rsidR="00F82011" w:rsidRPr="00B12B0D" w:rsidRDefault="00F82011" w:rsidP="00F82011">
      <w:pPr>
        <w:jc w:val="both"/>
        <w:rPr>
          <w:sz w:val="22"/>
          <w:szCs w:val="22"/>
        </w:rPr>
      </w:pPr>
    </w:p>
    <w:p w:rsidR="00385910" w:rsidRPr="00B12B0D" w:rsidRDefault="00385910" w:rsidP="005733FB">
      <w:pPr>
        <w:jc w:val="both"/>
        <w:rPr>
          <w:sz w:val="22"/>
          <w:szCs w:val="22"/>
        </w:rPr>
      </w:pPr>
    </w:p>
    <w:sectPr w:rsidR="00385910" w:rsidRPr="00B12B0D" w:rsidSect="00C62A5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DEF" w:rsidRDefault="00445DEF" w:rsidP="00B60F6F">
      <w:r>
        <w:separator/>
      </w:r>
    </w:p>
  </w:endnote>
  <w:endnote w:type="continuationSeparator" w:id="0">
    <w:p w:rsidR="00445DEF" w:rsidRDefault="00445DEF" w:rsidP="00B6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14188"/>
      <w:docPartObj>
        <w:docPartGallery w:val="Page Numbers (Bottom of Page)"/>
        <w:docPartUnique/>
      </w:docPartObj>
    </w:sdtPr>
    <w:sdtEndPr/>
    <w:sdtContent>
      <w:sdt>
        <w:sdtPr>
          <w:id w:val="565050477"/>
          <w:docPartObj>
            <w:docPartGallery w:val="Page Numbers (Top of Page)"/>
            <w:docPartUnique/>
          </w:docPartObj>
        </w:sdtPr>
        <w:sdtEndPr/>
        <w:sdtContent>
          <w:p w:rsidR="00A52A49" w:rsidRDefault="00A52A49">
            <w:pPr>
              <w:pStyle w:val="Footer"/>
              <w:jc w:val="center"/>
            </w:pPr>
            <w:r w:rsidRPr="00A059A1">
              <w:rPr>
                <w:sz w:val="22"/>
                <w:szCs w:val="22"/>
              </w:rPr>
              <w:t xml:space="preserve">Page </w:t>
            </w:r>
            <w:r w:rsidRPr="00A059A1">
              <w:rPr>
                <w:sz w:val="22"/>
                <w:szCs w:val="22"/>
              </w:rPr>
              <w:fldChar w:fldCharType="begin"/>
            </w:r>
            <w:r w:rsidRPr="00A059A1">
              <w:rPr>
                <w:sz w:val="22"/>
                <w:szCs w:val="22"/>
              </w:rPr>
              <w:instrText xml:space="preserve"> PAGE </w:instrText>
            </w:r>
            <w:r w:rsidRPr="00A059A1">
              <w:rPr>
                <w:sz w:val="22"/>
                <w:szCs w:val="22"/>
              </w:rPr>
              <w:fldChar w:fldCharType="separate"/>
            </w:r>
            <w:r w:rsidR="00F81609">
              <w:rPr>
                <w:noProof/>
                <w:sz w:val="22"/>
                <w:szCs w:val="22"/>
              </w:rPr>
              <w:t>16</w:t>
            </w:r>
            <w:r w:rsidRPr="00A059A1">
              <w:rPr>
                <w:sz w:val="22"/>
                <w:szCs w:val="22"/>
              </w:rPr>
              <w:fldChar w:fldCharType="end"/>
            </w:r>
            <w:r w:rsidRPr="00A059A1">
              <w:rPr>
                <w:sz w:val="22"/>
                <w:szCs w:val="22"/>
              </w:rPr>
              <w:t xml:space="preserve"> of </w:t>
            </w:r>
            <w:r w:rsidRPr="00A059A1">
              <w:rPr>
                <w:sz w:val="22"/>
                <w:szCs w:val="22"/>
              </w:rPr>
              <w:fldChar w:fldCharType="begin"/>
            </w:r>
            <w:r w:rsidRPr="00A059A1">
              <w:rPr>
                <w:sz w:val="22"/>
                <w:szCs w:val="22"/>
              </w:rPr>
              <w:instrText xml:space="preserve"> NUMPAGES  </w:instrText>
            </w:r>
            <w:r w:rsidRPr="00A059A1">
              <w:rPr>
                <w:sz w:val="22"/>
                <w:szCs w:val="22"/>
              </w:rPr>
              <w:fldChar w:fldCharType="separate"/>
            </w:r>
            <w:r w:rsidR="00F81609">
              <w:rPr>
                <w:noProof/>
                <w:sz w:val="22"/>
                <w:szCs w:val="22"/>
              </w:rPr>
              <w:t>16</w:t>
            </w:r>
            <w:r w:rsidRPr="00A059A1">
              <w:rPr>
                <w:sz w:val="22"/>
                <w:szCs w:val="22"/>
              </w:rPr>
              <w:fldChar w:fldCharType="end"/>
            </w:r>
          </w:p>
        </w:sdtContent>
      </w:sdt>
    </w:sdtContent>
  </w:sdt>
  <w:p w:rsidR="00A52A49" w:rsidRDefault="00A52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DEF" w:rsidRDefault="00445DEF" w:rsidP="00B60F6F">
      <w:r>
        <w:separator/>
      </w:r>
    </w:p>
  </w:footnote>
  <w:footnote w:type="continuationSeparator" w:id="0">
    <w:p w:rsidR="00445DEF" w:rsidRDefault="00445DEF" w:rsidP="00B60F6F">
      <w:r>
        <w:continuationSeparator/>
      </w:r>
    </w:p>
  </w:footnote>
  <w:footnote w:id="1">
    <w:p w:rsidR="00883683" w:rsidRPr="004B01FB" w:rsidRDefault="00883683" w:rsidP="00883683">
      <w:pPr>
        <w:pStyle w:val="FootnoteText"/>
      </w:pPr>
      <w:r w:rsidRPr="004B01FB">
        <w:rPr>
          <w:rStyle w:val="FootnoteReference"/>
        </w:rPr>
        <w:footnoteRef/>
      </w:r>
      <w:r w:rsidRPr="004B01FB">
        <w:t xml:space="preserve"> As discussed in greater detail below, the Department’s current definition of “juvenile” in § 115.5 currently does not include all youth.  For the purposes of this letter, we use the terms “children” and “youth” interchangeably to refer to all persons under the age of 18.  We have answered th</w:t>
      </w:r>
      <w:r w:rsidR="00BE6EF6" w:rsidRPr="004B01FB">
        <w:t>ese</w:t>
      </w:r>
      <w:r w:rsidRPr="004B01FB">
        <w:t xml:space="preserve"> question</w:t>
      </w:r>
      <w:r w:rsidR="00BE6EF6" w:rsidRPr="004B01FB">
        <w:t>s</w:t>
      </w:r>
      <w:r w:rsidRPr="004B01FB">
        <w:t xml:space="preserve"> assuming the Department intended to solicit comments about how the proposed PREA standards for adult facilities should be modified to address the needs of the entire youth population.  </w:t>
      </w:r>
    </w:p>
  </w:footnote>
  <w:footnote w:id="2">
    <w:p w:rsidR="00B5664E" w:rsidRPr="004B01FB" w:rsidRDefault="00B5664E" w:rsidP="00B5664E">
      <w:pPr>
        <w:pStyle w:val="FootnoteText"/>
      </w:pPr>
      <w:r w:rsidRPr="004B01FB">
        <w:rPr>
          <w:rStyle w:val="FootnoteReference"/>
        </w:rPr>
        <w:footnoteRef/>
      </w:r>
      <w:r w:rsidRPr="004B01FB">
        <w:t xml:space="preserve"> Minton, Todd D. (June 2010).</w:t>
      </w:r>
      <w:r w:rsidRPr="004B01FB">
        <w:rPr>
          <w:i/>
        </w:rPr>
        <w:t>Jail inmates at midyear 2009</w:t>
      </w:r>
      <w:r w:rsidRPr="004B01FB">
        <w:t xml:space="preserve">. Washington, DC: U.S. Department of Justice, Bureau of Justice Statistics.West, Heather C. (June 2010). </w:t>
      </w:r>
      <w:r w:rsidRPr="004B01FB">
        <w:rPr>
          <w:i/>
        </w:rPr>
        <w:t>Prison inmates at midyear 2009</w:t>
      </w:r>
      <w:r w:rsidRPr="004B01FB">
        <w:t>. Washington, DC: U.S. Department of Justice, Bureau of Justice Statistics.</w:t>
      </w:r>
    </w:p>
  </w:footnote>
  <w:footnote w:id="3">
    <w:p w:rsidR="002E6B41" w:rsidRPr="004B01FB" w:rsidRDefault="002E6B41" w:rsidP="002E6B41">
      <w:pPr>
        <w:pStyle w:val="FootnoteText"/>
      </w:pPr>
      <w:r w:rsidRPr="004B01FB">
        <w:rPr>
          <w:rStyle w:val="FootnoteReference"/>
        </w:rPr>
        <w:footnoteRef/>
      </w:r>
      <w:r w:rsidRPr="004B01FB">
        <w:t xml:space="preserve"> See also</w:t>
      </w:r>
      <w:r w:rsidR="00D87423" w:rsidRPr="004B01FB">
        <w:t xml:space="preserve"> Ching-Tung Wang &amp; John Holton, </w:t>
      </w:r>
      <w:r w:rsidR="00D87423" w:rsidRPr="004B01FB">
        <w:rPr>
          <w:i/>
          <w:iCs/>
        </w:rPr>
        <w:t>Total Estimated Cost of Child Abuse and Neglect in the United States</w:t>
      </w:r>
      <w:r w:rsidR="00D87423" w:rsidRPr="004B01FB">
        <w:rPr>
          <w:iCs/>
        </w:rPr>
        <w:t>,</w:t>
      </w:r>
      <w:r w:rsidR="00D87423" w:rsidRPr="004B01FB">
        <w:rPr>
          <w:i/>
          <w:iCs/>
        </w:rPr>
        <w:t xml:space="preserve"> </w:t>
      </w:r>
      <w:r w:rsidR="00D87423" w:rsidRPr="004B01FB">
        <w:t xml:space="preserve">Prevent Child Abuse America Economic Impact Study (2007), </w:t>
      </w:r>
      <w:r w:rsidR="00D87423" w:rsidRPr="004B01FB">
        <w:rPr>
          <w:i/>
          <w:iCs/>
        </w:rPr>
        <w:t xml:space="preserve">available at </w:t>
      </w:r>
      <w:hyperlink r:id="rId1" w:history="1">
        <w:r w:rsidR="00D87423" w:rsidRPr="004B01FB">
          <w:rPr>
            <w:rStyle w:val="Hyperlink"/>
          </w:rPr>
          <w:t>http://www.preventchildabuse.org/about_us/media_releases/pcaa_pew_economic_impact_study_final.pdf</w:t>
        </w:r>
      </w:hyperlink>
      <w:r w:rsidR="00D87423" w:rsidRPr="004B01FB">
        <w:t xml:space="preserve"> (d</w:t>
      </w:r>
      <w:r w:rsidRPr="004B01FB">
        <w:t>ocument</w:t>
      </w:r>
      <w:r w:rsidR="00D87423" w:rsidRPr="004B01FB">
        <w:t xml:space="preserve">ing </w:t>
      </w:r>
      <w:r w:rsidRPr="004B01FB">
        <w:t>the adverse impact on children who have been sexually abused</w:t>
      </w:r>
      <w:r w:rsidR="00D87423" w:rsidRPr="004B01FB">
        <w:t xml:space="preserve">).  </w:t>
      </w:r>
    </w:p>
  </w:footnote>
  <w:footnote w:id="4">
    <w:p w:rsidR="00A500B1" w:rsidRPr="004B01FB" w:rsidRDefault="00A500B1">
      <w:pPr>
        <w:pStyle w:val="FootnoteText"/>
      </w:pPr>
      <w:r w:rsidRPr="004B01FB">
        <w:rPr>
          <w:rStyle w:val="FootnoteReference"/>
        </w:rPr>
        <w:footnoteRef/>
      </w:r>
      <w:r w:rsidRPr="004B01FB">
        <w:t xml:space="preserve"> </w:t>
      </w:r>
      <w:r w:rsidR="0059313B" w:rsidRPr="004B01FB">
        <w:t>Add prison rape reviews</w:t>
      </w:r>
    </w:p>
  </w:footnote>
  <w:footnote w:id="5">
    <w:p w:rsidR="004A124E" w:rsidRPr="004B01FB" w:rsidRDefault="004A124E" w:rsidP="004A124E">
      <w:pPr>
        <w:pStyle w:val="FootnoteText"/>
      </w:pPr>
      <w:r w:rsidRPr="004B01FB">
        <w:rPr>
          <w:rStyle w:val="FootnoteReference"/>
        </w:rPr>
        <w:footnoteRef/>
      </w:r>
      <w:r w:rsidRPr="004B01FB">
        <w:t xml:space="preserve"> Committee on the Judiciary, Feb. 23</w:t>
      </w:r>
    </w:p>
  </w:footnote>
  <w:footnote w:id="6">
    <w:p w:rsidR="00911A00" w:rsidRPr="004B01FB" w:rsidRDefault="00911A00" w:rsidP="00911A00">
      <w:pPr>
        <w:pStyle w:val="FootnoteText"/>
      </w:pPr>
      <w:r w:rsidRPr="004B01FB">
        <w:rPr>
          <w:rStyle w:val="FootnoteReference"/>
        </w:rPr>
        <w:footnoteRef/>
      </w:r>
      <w:r w:rsidRPr="004B01FB">
        <w:t xml:space="preserve"> </w:t>
      </w:r>
      <w:r w:rsidRPr="004B01FB">
        <w:rPr>
          <w:i/>
        </w:rPr>
        <w:t>The Consequences Aren’t Minor: the Impact of Trying Youth as Adults and Strategies for Reform</w:t>
      </w:r>
      <w:r w:rsidRPr="004B01FB">
        <w:t xml:space="preserve"> (2007, March). Washington, DC: Campaign for Youth Justice. </w:t>
      </w:r>
    </w:p>
  </w:footnote>
  <w:footnote w:id="7">
    <w:p w:rsidR="00FF117C" w:rsidRPr="004B01FB" w:rsidRDefault="00FF117C" w:rsidP="00FF117C">
      <w:pPr>
        <w:pStyle w:val="FootnoteText"/>
      </w:pPr>
      <w:r w:rsidRPr="004B01FB">
        <w:rPr>
          <w:rStyle w:val="FootnoteReference"/>
        </w:rPr>
        <w:footnoteRef/>
      </w:r>
      <w:r w:rsidRPr="004B01FB">
        <w:t xml:space="preserve"> Deitch, Michele, et.al. (2009). </w:t>
      </w:r>
      <w:r w:rsidRPr="004B01FB">
        <w:rPr>
          <w:i/>
          <w:iCs/>
        </w:rPr>
        <w:t>From Time Out to Hard Time: Young Children in the Adult Criminal Justice System</w:t>
      </w:r>
      <w:r w:rsidRPr="004B01FB">
        <w:t>, Austin, TX: The University of Texas at Austin, LBJ School of Public Affairs.</w:t>
      </w:r>
    </w:p>
  </w:footnote>
  <w:footnote w:id="8">
    <w:p w:rsidR="000407C6" w:rsidRPr="004B01FB" w:rsidRDefault="000407C6" w:rsidP="000407C6">
      <w:pPr>
        <w:pStyle w:val="FootnoteText"/>
      </w:pPr>
      <w:r w:rsidRPr="004B01FB">
        <w:rPr>
          <w:rStyle w:val="FootnoteReference"/>
        </w:rPr>
        <w:footnoteRef/>
      </w:r>
      <w:r w:rsidRPr="004B01FB">
        <w:t xml:space="preserve"> Goemann, M, et. al. (2007). </w:t>
      </w:r>
      <w:r w:rsidRPr="004B01FB">
        <w:rPr>
          <w:i/>
        </w:rPr>
        <w:t>Children Being Tried As Adults: Pre-Trial Detention Laws in the U.S.</w:t>
      </w:r>
      <w:r w:rsidRPr="004B01FB">
        <w:t xml:space="preserve"> Campaign for Youth Justice.  Available online at </w:t>
      </w:r>
      <w:hyperlink r:id="rId2" w:history="1">
        <w:r w:rsidRPr="004B01FB">
          <w:rPr>
            <w:rStyle w:val="Hyperlink"/>
          </w:rPr>
          <w:t>http://www.campaignforyouthjustice.org/documents/ChildrenBeing.pdf</w:t>
        </w:r>
      </w:hyperlink>
      <w:r w:rsidRPr="004B01FB">
        <w:t xml:space="preserve">. </w:t>
      </w:r>
    </w:p>
  </w:footnote>
  <w:footnote w:id="9">
    <w:p w:rsidR="0099300C" w:rsidRPr="004B01FB" w:rsidRDefault="0099300C" w:rsidP="0099300C">
      <w:pPr>
        <w:pStyle w:val="FootnoteText"/>
      </w:pPr>
      <w:r w:rsidRPr="004B01FB">
        <w:rPr>
          <w:rStyle w:val="FootnoteReference"/>
        </w:rPr>
        <w:footnoteRef/>
      </w:r>
      <w:r w:rsidRPr="004B01FB">
        <w:t xml:space="preserve"> Murrie, Daniel C., et. al. (2009). “Psychiatric Symptoms Among Juveniles Incarcerated in Adult Prison,” in </w:t>
      </w:r>
      <w:r w:rsidRPr="004B01FB">
        <w:rPr>
          <w:smallCaps/>
        </w:rPr>
        <w:t>Psychiatric Services,</w:t>
      </w:r>
      <w:r w:rsidRPr="004B01FB">
        <w:t xml:space="preserve"> August 2009, Vol. 60, No. 8</w:t>
      </w:r>
      <w:r w:rsidR="00AC227C" w:rsidRPr="004B01FB">
        <w:t xml:space="preserve"> (finding that </w:t>
      </w:r>
      <w:r w:rsidR="00AC227C" w:rsidRPr="004B01FB">
        <w:rPr>
          <w:iCs/>
        </w:rPr>
        <w:t>over 50% of youth scored above the highest clinical cutoff (the “warning” range</w:t>
      </w:r>
      <w:r w:rsidR="00AB32C8">
        <w:rPr>
          <w:iCs/>
        </w:rPr>
        <w:t>)</w:t>
      </w:r>
      <w:r w:rsidR="00AC227C" w:rsidRPr="004B01FB">
        <w:rPr>
          <w:iCs/>
        </w:rPr>
        <w:t xml:space="preserve"> on </w:t>
      </w:r>
      <w:r w:rsidR="00AB32C8">
        <w:rPr>
          <w:iCs/>
        </w:rPr>
        <w:t xml:space="preserve">the </w:t>
      </w:r>
      <w:r w:rsidR="00AC227C" w:rsidRPr="004B01FB">
        <w:rPr>
          <w:iCs/>
        </w:rPr>
        <w:t xml:space="preserve">MAYSI-2 subscale). </w:t>
      </w:r>
    </w:p>
  </w:footnote>
  <w:footnote w:id="10">
    <w:p w:rsidR="004E158F" w:rsidRPr="004B01FB" w:rsidRDefault="004E158F">
      <w:pPr>
        <w:pStyle w:val="FootnoteText"/>
      </w:pPr>
      <w:r w:rsidRPr="004B01FB">
        <w:rPr>
          <w:rStyle w:val="FootnoteReference"/>
        </w:rPr>
        <w:footnoteRef/>
      </w:r>
      <w:r w:rsidRPr="004B01FB">
        <w:t xml:space="preserve"> </w:t>
      </w:r>
      <w:r w:rsidR="00604F34" w:rsidRPr="004B01FB">
        <w:t xml:space="preserve">Abram KM, Teplin LA, Charles DR, Longworth SL, McClelland GM, Dulcan MK. Posttraumatic stress disorder and trauma in youth in juvenile detention. </w:t>
      </w:r>
      <w:r w:rsidR="00604F34" w:rsidRPr="004B01FB">
        <w:rPr>
          <w:i/>
          <w:iCs/>
        </w:rPr>
        <w:t xml:space="preserve">Arch Gen Psychiatry. </w:t>
      </w:r>
      <w:r w:rsidR="001C5131">
        <w:t xml:space="preserve">2004;661:403-410 </w:t>
      </w:r>
      <w:r w:rsidR="00604F34" w:rsidRPr="004B01FB">
        <w:t>(</w:t>
      </w:r>
      <w:r w:rsidR="00604F34" w:rsidRPr="004B01FB">
        <w:rPr>
          <w:iCs/>
        </w:rPr>
        <w:t>nearly one-third of girls reported prior sexual victimization with force, compared with less than 5% of boys).</w:t>
      </w:r>
    </w:p>
  </w:footnote>
  <w:footnote w:id="11">
    <w:p w:rsidR="00D533D7" w:rsidRPr="004B01FB" w:rsidRDefault="00D533D7" w:rsidP="00D533D7">
      <w:pPr>
        <w:pStyle w:val="FootnoteText"/>
      </w:pPr>
      <w:r w:rsidRPr="004B01FB">
        <w:rPr>
          <w:rStyle w:val="FootnoteReference"/>
        </w:rPr>
        <w:footnoteRef/>
      </w:r>
      <w:r w:rsidRPr="004B01FB">
        <w:t xml:space="preserve"> “Criminal Justice and School Sanctions against Nonheterosexual Youth: A National Longitudinal Study,” Kathryn E.W. Himmelstein, B.A., and Hannah Brückner, Ph.D. Pediatrics, January 2011 (published online December 6, 2010).</w:t>
      </w:r>
    </w:p>
  </w:footnote>
  <w:footnote w:id="12">
    <w:p w:rsidR="00FF6416" w:rsidRPr="004B01FB" w:rsidRDefault="00FF6416" w:rsidP="00FF6416">
      <w:pPr>
        <w:pStyle w:val="Endnote"/>
        <w:ind w:firstLine="0"/>
      </w:pPr>
      <w:r w:rsidRPr="004B01FB">
        <w:rPr>
          <w:rStyle w:val="FootnoteReference"/>
        </w:rPr>
        <w:footnoteRef/>
      </w:r>
      <w:r w:rsidRPr="004B01FB">
        <w:t xml:space="preserve"> Beck, A.J., Harrison, P.M., Adams, D.B. (2007, August). </w:t>
      </w:r>
      <w:r w:rsidRPr="004B01FB">
        <w:rPr>
          <w:i/>
        </w:rPr>
        <w:t>Sexual Violence Reported by Correctional Authorities, 2006</w:t>
      </w:r>
      <w:r w:rsidRPr="004B01FB">
        <w:t xml:space="preserve">. Washington, D.C.: U.S. Department of Justice, Office of Justice Programs, Bureau of Justice Statistics.   </w:t>
      </w:r>
      <w:r w:rsidRPr="004B01FB">
        <w:br/>
        <w:t xml:space="preserve">Beck, A.J., Harrison, P.M. (2006, July). </w:t>
      </w:r>
      <w:r w:rsidRPr="004B01FB">
        <w:rPr>
          <w:i/>
        </w:rPr>
        <w:t>Sexual Violence Reported by Correctional Authorities, 2005</w:t>
      </w:r>
      <w:r w:rsidRPr="004B01FB">
        <w:t xml:space="preserve">. Washington, D.C.: U.S. Department of Justice, Office of Justice Programs, Bureau of Justice Statistics. </w:t>
      </w:r>
    </w:p>
  </w:footnote>
  <w:footnote w:id="13">
    <w:p w:rsidR="00FF6416" w:rsidRPr="004B01FB" w:rsidRDefault="00FF6416" w:rsidP="00FF6416">
      <w:pPr>
        <w:pStyle w:val="FootnoteText"/>
      </w:pPr>
      <w:r w:rsidRPr="004B01FB">
        <w:rPr>
          <w:rStyle w:val="FootnoteReference"/>
        </w:rPr>
        <w:footnoteRef/>
      </w:r>
      <w:r w:rsidRPr="004B01FB">
        <w:t xml:space="preserve"> Snyder, H.N., Sickmund, M.  (2006). </w:t>
      </w:r>
      <w:r w:rsidRPr="004B01FB">
        <w:rPr>
          <w:i/>
          <w:iCs/>
        </w:rPr>
        <w:t>Juvenile Offenders and Victims: 2006 National Report</w:t>
      </w:r>
      <w:r w:rsidRPr="004B01FB">
        <w:t>. Washington, DC: U.S. Department of Justice, Office of Justice Programs, Office of Juvenile Justice and Delinquency Prevention.</w:t>
      </w:r>
    </w:p>
  </w:footnote>
  <w:footnote w:id="14">
    <w:p w:rsidR="006D7F7D" w:rsidRPr="004B01FB" w:rsidRDefault="006D7F7D">
      <w:pPr>
        <w:pStyle w:val="FootnoteText"/>
      </w:pPr>
      <w:r w:rsidRPr="004B01FB">
        <w:rPr>
          <w:rStyle w:val="FootnoteReference"/>
        </w:rPr>
        <w:footnoteRef/>
      </w:r>
      <w:r w:rsidRPr="004B01FB">
        <w:t xml:space="preserve"> Guerino, Paul., and Allen J. Beck. (2011). </w:t>
      </w:r>
      <w:r w:rsidRPr="004B01FB">
        <w:rPr>
          <w:i/>
        </w:rPr>
        <w:t>Sexual Victimization Reported by Adult Correctional Authorities, 2007-2008.</w:t>
      </w:r>
      <w:r w:rsidR="004E1515" w:rsidRPr="004B01FB">
        <w:t xml:space="preserve"> Bureau of Justice Statistics.</w:t>
      </w:r>
    </w:p>
  </w:footnote>
  <w:footnote w:id="15">
    <w:p w:rsidR="00FF6416" w:rsidRPr="004B01FB" w:rsidRDefault="00FF6416" w:rsidP="00FF6416">
      <w:pPr>
        <w:pStyle w:val="FootnoteText"/>
      </w:pPr>
      <w:r w:rsidRPr="004B01FB">
        <w:rPr>
          <w:rStyle w:val="FootnoteReference"/>
        </w:rPr>
        <w:footnoteRef/>
      </w:r>
      <w:r w:rsidRPr="004B01FB">
        <w:t xml:space="preserve">National Prison Rape Elimination Commission, Report 18 (June 2009), available at </w:t>
      </w:r>
      <w:hyperlink r:id="rId3" w:history="1">
        <w:r w:rsidRPr="004B01FB">
          <w:rPr>
            <w:rStyle w:val="Hyperlink"/>
          </w:rPr>
          <w:t>http://www.ncjrs.gov/pdffiles1/226680.pdf</w:t>
        </w:r>
      </w:hyperlink>
      <w:r w:rsidRPr="004B01FB">
        <w:t>.</w:t>
      </w:r>
    </w:p>
  </w:footnote>
  <w:footnote w:id="16">
    <w:p w:rsidR="00C56E9F" w:rsidRPr="004B01FB" w:rsidRDefault="00C56E9F" w:rsidP="00C56E9F">
      <w:pPr>
        <w:pStyle w:val="EndnoteText"/>
      </w:pPr>
      <w:r w:rsidRPr="004B01FB">
        <w:rPr>
          <w:rStyle w:val="FootnoteReference"/>
        </w:rPr>
        <w:footnoteRef/>
      </w:r>
      <w:r w:rsidRPr="004B01FB">
        <w:t xml:space="preserve"> Lindsay M. Hayes, National Center on Institutions and Alternatives, </w:t>
      </w:r>
      <w:r w:rsidRPr="004B01FB">
        <w:rPr>
          <w:i/>
          <w:iCs/>
        </w:rPr>
        <w:t>Juvenile Suicide in Confinement: A National Survey</w:t>
      </w:r>
      <w:r w:rsidRPr="004B01FB">
        <w:rPr>
          <w:iCs/>
        </w:rPr>
        <w:t xml:space="preserve">, </w:t>
      </w:r>
      <w:r w:rsidRPr="004B01FB">
        <w:t xml:space="preserve">Office of Juvenile Justice and Delinquency Prevention (2009), </w:t>
      </w:r>
      <w:r w:rsidRPr="004B01FB">
        <w:rPr>
          <w:i/>
          <w:iCs/>
        </w:rPr>
        <w:t xml:space="preserve">available at </w:t>
      </w:r>
      <w:hyperlink r:id="rId4" w:history="1">
        <w:r w:rsidRPr="004B01FB">
          <w:rPr>
            <w:rStyle w:val="Hyperlink"/>
          </w:rPr>
          <w:t>http://www.ncjrs.gov/pdffiles1/ojjdp/213691.pdf</w:t>
        </w:r>
      </w:hyperlink>
      <w:r w:rsidRPr="004B01FB">
        <w:t xml:space="preserve"> (describing a “strong relationship between juvenile suicide and room confinement”).</w:t>
      </w:r>
    </w:p>
  </w:footnote>
  <w:footnote w:id="17">
    <w:p w:rsidR="00A359B0" w:rsidRPr="004B01FB" w:rsidRDefault="00A359B0" w:rsidP="00A359B0">
      <w:pPr>
        <w:pStyle w:val="FootnoteText"/>
      </w:pPr>
      <w:r w:rsidRPr="004B01FB">
        <w:rPr>
          <w:rStyle w:val="FootnoteReference"/>
        </w:rPr>
        <w:footnoteRef/>
      </w:r>
      <w:r w:rsidRPr="004B01FB">
        <w:t xml:space="preserve"> McGowan, A., Hahn, R., et.al., Effects on Violence and Laws and Policies Facilitating the Transfer of Juveniles from the Juvenile Justice System to the Adult Justice System: A Systematic Review. </w:t>
      </w:r>
      <w:r w:rsidRPr="004B01FB">
        <w:rPr>
          <w:i/>
        </w:rPr>
        <w:t>American Journal of Preventative Medicine,</w:t>
      </w:r>
      <w:r w:rsidRPr="004B01FB">
        <w:t xml:space="preserve"> 32 (4S), S7-S28.</w:t>
      </w:r>
    </w:p>
  </w:footnote>
  <w:footnote w:id="18">
    <w:p w:rsidR="009178E9" w:rsidRPr="004B01FB" w:rsidRDefault="009178E9" w:rsidP="009178E9">
      <w:pPr>
        <w:pStyle w:val="FootnoteText"/>
      </w:pPr>
      <w:r w:rsidRPr="004B01FB">
        <w:rPr>
          <w:rStyle w:val="FootnoteReference"/>
        </w:rPr>
        <w:footnoteRef/>
      </w:r>
      <w:r w:rsidRPr="004B01FB">
        <w:t xml:space="preserve"> Olson, M. (2003, August). Kids in the Hole – Juvenile Offenders. </w:t>
      </w:r>
      <w:r w:rsidRPr="004B01FB">
        <w:rPr>
          <w:i/>
          <w:iCs/>
        </w:rPr>
        <w:t xml:space="preserve">The Progressive </w:t>
      </w:r>
      <w:r w:rsidRPr="004B01FB">
        <w:rPr>
          <w:iCs/>
        </w:rPr>
        <w:t xml:space="preserve">67(8). </w:t>
      </w:r>
      <w:r w:rsidRPr="004B01FB">
        <w:t xml:space="preserve">Available online at </w:t>
      </w:r>
      <w:hyperlink r:id="rId5" w:history="1">
        <w:r w:rsidRPr="004B01FB">
          <w:rPr>
            <w:rStyle w:val="Hyperlink"/>
          </w:rPr>
          <w:t>http://findarticles.com/p/articles/mi_m1295/is_8_67/ai_106225215</w:t>
        </w:r>
      </w:hyperlink>
      <w:r w:rsidRPr="004B01FB">
        <w:t xml:space="preserve">. </w:t>
      </w:r>
    </w:p>
  </w:footnote>
  <w:footnote w:id="19">
    <w:p w:rsidR="00076502" w:rsidRDefault="00076502">
      <w:pPr>
        <w:pStyle w:val="FootnoteText"/>
      </w:pPr>
      <w:r>
        <w:rPr>
          <w:rStyle w:val="FootnoteReference"/>
        </w:rPr>
        <w:footnoteRef/>
      </w:r>
      <w:r>
        <w:t xml:space="preserve"> </w:t>
      </w:r>
      <w:r w:rsidRPr="00076502">
        <w:rPr>
          <w:i/>
        </w:rPr>
        <w:t xml:space="preserve">See </w:t>
      </w:r>
      <w:r w:rsidRPr="00076502">
        <w:t>42 U.S.C. §§ 5601-5681.</w:t>
      </w:r>
    </w:p>
  </w:footnote>
  <w:footnote w:id="20">
    <w:p w:rsidR="00FB6BC5" w:rsidRPr="004B01FB" w:rsidRDefault="00FB6BC5" w:rsidP="00FB6BC5">
      <w:pPr>
        <w:pStyle w:val="FootnoteText"/>
      </w:pPr>
      <w:r w:rsidRPr="004B01FB">
        <w:rPr>
          <w:rStyle w:val="FootnoteReference"/>
        </w:rPr>
        <w:footnoteRef/>
      </w:r>
      <w:r w:rsidRPr="004B01FB">
        <w:rPr>
          <w:iCs/>
        </w:rPr>
        <w:t>42 U.S.C. 5633(a)(12)</w:t>
      </w:r>
    </w:p>
  </w:footnote>
  <w:footnote w:id="21">
    <w:p w:rsidR="00FF6416" w:rsidRPr="004B01FB" w:rsidRDefault="00FF6416" w:rsidP="00FF6416">
      <w:pPr>
        <w:autoSpaceDE w:val="0"/>
        <w:autoSpaceDN w:val="0"/>
        <w:adjustRightInd w:val="0"/>
        <w:rPr>
          <w:sz w:val="20"/>
          <w:szCs w:val="20"/>
        </w:rPr>
      </w:pPr>
      <w:r w:rsidRPr="004B01FB">
        <w:rPr>
          <w:rStyle w:val="FootnoteReference"/>
          <w:sz w:val="20"/>
          <w:szCs w:val="20"/>
        </w:rPr>
        <w:footnoteRef/>
      </w:r>
      <w:r w:rsidRPr="004B01FB">
        <w:rPr>
          <w:sz w:val="20"/>
          <w:szCs w:val="20"/>
        </w:rPr>
        <w:t xml:space="preserve"> Griffin, Patrick.  National Institute of Corrections Convening, June 18, 2010.</w:t>
      </w:r>
    </w:p>
  </w:footnote>
  <w:footnote w:id="22">
    <w:p w:rsidR="00E73AE3" w:rsidRPr="004B01FB" w:rsidRDefault="00E73AE3" w:rsidP="00E73AE3">
      <w:pPr>
        <w:pStyle w:val="FootnoteText"/>
      </w:pPr>
      <w:r w:rsidRPr="004B01FB">
        <w:rPr>
          <w:rStyle w:val="FootnoteReference"/>
        </w:rPr>
        <w:footnoteRef/>
      </w:r>
      <w:r w:rsidRPr="004B01FB">
        <w:t xml:space="preserve"> </w:t>
      </w:r>
      <w:r w:rsidRPr="004B01FB">
        <w:rPr>
          <w:i/>
        </w:rPr>
        <w:t xml:space="preserve">Roper v. Simmons, </w:t>
      </w:r>
      <w:r w:rsidRPr="004B01FB">
        <w:t>543 U.S. 541 (2005).</w:t>
      </w:r>
    </w:p>
  </w:footnote>
  <w:footnote w:id="23">
    <w:p w:rsidR="004B3027" w:rsidRPr="004B01FB" w:rsidRDefault="004B3027" w:rsidP="004B3027">
      <w:pPr>
        <w:pStyle w:val="FootnoteText"/>
      </w:pPr>
      <w:r w:rsidRPr="004B01FB">
        <w:rPr>
          <w:rStyle w:val="FootnoteReference"/>
        </w:rPr>
        <w:footnoteRef/>
      </w:r>
      <w:r w:rsidRPr="004B01FB">
        <w:t xml:space="preserve"> 42 U.S.C. 1560.  </w:t>
      </w:r>
    </w:p>
  </w:footnote>
  <w:footnote w:id="24">
    <w:p w:rsidR="00F67829" w:rsidRPr="004B01FB" w:rsidRDefault="00F67829" w:rsidP="00F67829">
      <w:pPr>
        <w:autoSpaceDE w:val="0"/>
        <w:autoSpaceDN w:val="0"/>
        <w:adjustRightInd w:val="0"/>
        <w:rPr>
          <w:bCs/>
          <w:color w:val="231F20"/>
          <w:sz w:val="20"/>
          <w:szCs w:val="20"/>
        </w:rPr>
      </w:pPr>
      <w:r w:rsidRPr="004B01FB">
        <w:rPr>
          <w:rStyle w:val="FootnoteReference"/>
          <w:sz w:val="20"/>
          <w:szCs w:val="20"/>
        </w:rPr>
        <w:footnoteRef/>
      </w:r>
      <w:r w:rsidRPr="004B01FB">
        <w:rPr>
          <w:color w:val="231F20"/>
          <w:sz w:val="20"/>
          <w:szCs w:val="20"/>
        </w:rPr>
        <w:t xml:space="preserve"> Centers for Disease Control and Prevention.</w:t>
      </w:r>
      <w:r w:rsidRPr="004B01FB">
        <w:rPr>
          <w:bCs/>
          <w:sz w:val="20"/>
          <w:szCs w:val="20"/>
        </w:rPr>
        <w:t xml:space="preserve"> (2007) </w:t>
      </w:r>
      <w:r w:rsidRPr="004B01FB">
        <w:rPr>
          <w:bCs/>
          <w:color w:val="231F20"/>
          <w:sz w:val="20"/>
          <w:szCs w:val="20"/>
        </w:rPr>
        <w:t>Effects on Violence of Laws and Policies Facilitating</w:t>
      </w:r>
    </w:p>
    <w:p w:rsidR="00F67829" w:rsidRPr="004B01FB" w:rsidRDefault="00F67829" w:rsidP="00F67829">
      <w:pPr>
        <w:pStyle w:val="FootnoteText"/>
      </w:pPr>
      <w:r w:rsidRPr="004B01FB">
        <w:t xml:space="preserve">the Transfer of Youth from the Juvenile to the Adult Justice System: A Report on Recommendations of the Task Force on Community Preventive Services. MMWR 2007; 56 (No. RR-9); Richard E. Redding, </w:t>
      </w:r>
      <w:r w:rsidRPr="004B01FB">
        <w:rPr>
          <w:i/>
          <w:iCs/>
        </w:rPr>
        <w:t xml:space="preserve">Juvenile transfer laws: An effective deterrent to delinquency? </w:t>
      </w:r>
      <w:r w:rsidRPr="004B01FB">
        <w:rPr>
          <w:iCs/>
        </w:rPr>
        <w:t>(</w:t>
      </w:r>
      <w:r w:rsidRPr="004B01FB">
        <w:t xml:space="preserve">Washington, D.C.: U.S. Department of Justice, Office of Justice Programs, Office of Juvenile Justice and Delinquency Prevention) (June 2010).  </w:t>
      </w:r>
    </w:p>
  </w:footnote>
  <w:footnote w:id="25">
    <w:p w:rsidR="00A52A49" w:rsidRPr="004B01FB" w:rsidRDefault="00A52A49" w:rsidP="0041577C">
      <w:pPr>
        <w:pStyle w:val="FootnoteText"/>
      </w:pPr>
      <w:r w:rsidRPr="004B01FB">
        <w:rPr>
          <w:rStyle w:val="FootnoteReference"/>
        </w:rPr>
        <w:footnoteRef/>
      </w:r>
      <w:r w:rsidRPr="004B01FB">
        <w:t xml:space="preserve"> Krisberg, B. (2006, June) </w:t>
      </w:r>
      <w:r w:rsidRPr="004B01FB">
        <w:rPr>
          <w:i/>
        </w:rPr>
        <w:t>Testimony by Barry Krisberg</w:t>
      </w:r>
      <w:r w:rsidRPr="004B01FB">
        <w:t xml:space="preserve">. Boston, MA: National Prison Rape Elimination Commission Available from:  </w:t>
      </w:r>
      <w:hyperlink r:id="rId6" w:history="1">
        <w:r w:rsidRPr="004B01FB">
          <w:rPr>
            <w:rStyle w:val="Hyperlink"/>
          </w:rPr>
          <w:t>http://www.nprec.us/docs/boston_natureofproblem_krisberg.pdf</w:t>
        </w:r>
      </w:hyperlink>
      <w:r w:rsidRPr="004B01FB">
        <w:t xml:space="preserve"> </w:t>
      </w:r>
    </w:p>
  </w:footnote>
  <w:footnote w:id="26">
    <w:p w:rsidR="00B901D6" w:rsidRPr="004B01FB" w:rsidRDefault="00B901D6" w:rsidP="00B901D6">
      <w:pPr>
        <w:pStyle w:val="FootnoteText"/>
      </w:pPr>
      <w:r w:rsidRPr="004B01FB">
        <w:rPr>
          <w:rStyle w:val="FootnoteReference"/>
        </w:rPr>
        <w:footnoteRef/>
      </w:r>
      <w:r w:rsidRPr="004B01FB">
        <w:t xml:space="preserve"> Gordon R. Hodas, </w:t>
      </w:r>
      <w:r w:rsidRPr="004B01FB">
        <w:rPr>
          <w:i/>
        </w:rPr>
        <w:t>Responding to Childhood Trauma: The Promise and Practice of Trauma Informed Care</w:t>
      </w:r>
      <w:r w:rsidRPr="004B01FB">
        <w:t xml:space="preserve">, Pennsylvania Office of Mental Health and Substance Abuse Services (2006), </w:t>
      </w:r>
      <w:r w:rsidRPr="004B01FB">
        <w:rPr>
          <w:i/>
        </w:rPr>
        <w:t xml:space="preserve">available at </w:t>
      </w:r>
      <w:hyperlink r:id="rId7" w:history="1">
        <w:r w:rsidRPr="004B01FB">
          <w:rPr>
            <w:rStyle w:val="Hyperlink"/>
          </w:rPr>
          <w:t>http://www.nasmhpd.org/general_files/publications/ntac_pubs/Responding%20to%20Childhood%20Trauma%20-%20Hodas.pdf</w:t>
        </w:r>
      </w:hyperlink>
      <w:r w:rsidRPr="004B01FB">
        <w:t xml:space="preserve">; </w:t>
      </w:r>
      <w:r w:rsidRPr="004B01FB">
        <w:rPr>
          <w:i/>
        </w:rPr>
        <w:t>see also</w:t>
      </w:r>
      <w:r w:rsidRPr="004B01FB">
        <w:t xml:space="preserve"> </w:t>
      </w:r>
      <w:r w:rsidRPr="004B01FB">
        <w:rPr>
          <w:i/>
        </w:rPr>
        <w:t>Children’s Reaction to Trauma: Suggestions for Parents</w:t>
      </w:r>
      <w:r w:rsidRPr="004B01FB">
        <w:t xml:space="preserve">, National Mental Health and Education Center, </w:t>
      </w:r>
      <w:r w:rsidRPr="004B01FB">
        <w:rPr>
          <w:i/>
        </w:rPr>
        <w:t xml:space="preserve">available at </w:t>
      </w:r>
      <w:hyperlink r:id="rId8" w:history="1">
        <w:r w:rsidRPr="004B01FB">
          <w:rPr>
            <w:rStyle w:val="Hyperlink"/>
          </w:rPr>
          <w:t>http://www.naspcenter.org/safe_schools/trauma.html</w:t>
        </w:r>
      </w:hyperlink>
      <w:r w:rsidRPr="004B01FB">
        <w:t xml:space="preserve">. </w:t>
      </w:r>
    </w:p>
  </w:footnote>
  <w:footnote w:id="27">
    <w:p w:rsidR="00B901D6" w:rsidRPr="004B01FB" w:rsidRDefault="00B901D6" w:rsidP="00B901D6">
      <w:pPr>
        <w:pStyle w:val="FootnoteText"/>
      </w:pPr>
      <w:r w:rsidRPr="004B01FB">
        <w:rPr>
          <w:rStyle w:val="FootnoteReference"/>
        </w:rPr>
        <w:footnoteRef/>
      </w:r>
      <w:r w:rsidRPr="004B01FB">
        <w:t xml:space="preserve"> </w:t>
      </w:r>
      <w:r w:rsidRPr="004B01FB">
        <w:rPr>
          <w:i/>
        </w:rPr>
        <w:t>Id</w:t>
      </w:r>
      <w:r w:rsidRPr="004B01F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6A7"/>
    <w:multiLevelType w:val="hybridMultilevel"/>
    <w:tmpl w:val="2AAC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934AB"/>
    <w:multiLevelType w:val="hybridMultilevel"/>
    <w:tmpl w:val="3F4CA6FC"/>
    <w:lvl w:ilvl="0" w:tplc="CAACC51C">
      <w:start w:val="1"/>
      <w:numFmt w:val="decimal"/>
      <w:lvlText w:val="%1."/>
      <w:lvlJc w:val="left"/>
      <w:pPr>
        <w:tabs>
          <w:tab w:val="num" w:pos="720"/>
        </w:tabs>
        <w:ind w:left="720" w:hanging="360"/>
      </w:pPr>
      <w:rPr>
        <w:rFonts w:cs="Times New Roman" w:hint="default"/>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71909E7"/>
    <w:multiLevelType w:val="hybridMultilevel"/>
    <w:tmpl w:val="341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4108A"/>
    <w:multiLevelType w:val="hybridMultilevel"/>
    <w:tmpl w:val="3FE8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B5FBF"/>
    <w:multiLevelType w:val="hybridMultilevel"/>
    <w:tmpl w:val="8E5E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908D9"/>
    <w:multiLevelType w:val="hybridMultilevel"/>
    <w:tmpl w:val="2264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10481"/>
    <w:multiLevelType w:val="hybridMultilevel"/>
    <w:tmpl w:val="E1669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24F43"/>
    <w:multiLevelType w:val="hybridMultilevel"/>
    <w:tmpl w:val="F03C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A57A3F"/>
    <w:multiLevelType w:val="hybridMultilevel"/>
    <w:tmpl w:val="359AA528"/>
    <w:lvl w:ilvl="0" w:tplc="0409000F">
      <w:start w:val="1"/>
      <w:numFmt w:val="decimal"/>
      <w:lvlText w:val="%1."/>
      <w:lvlJc w:val="left"/>
      <w:pPr>
        <w:ind w:left="882" w:hanging="360"/>
      </w:pPr>
      <w:rPr>
        <w:rFont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
    <w:nsid w:val="2C050220"/>
    <w:multiLevelType w:val="hybridMultilevel"/>
    <w:tmpl w:val="2E84FD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0E71FB"/>
    <w:multiLevelType w:val="hybridMultilevel"/>
    <w:tmpl w:val="43580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8445DD"/>
    <w:multiLevelType w:val="hybridMultilevel"/>
    <w:tmpl w:val="067AD2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6A062ED"/>
    <w:multiLevelType w:val="hybridMultilevel"/>
    <w:tmpl w:val="E5F0E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CE3B1D"/>
    <w:multiLevelType w:val="hybridMultilevel"/>
    <w:tmpl w:val="3CCCB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CEE4890"/>
    <w:multiLevelType w:val="hybridMultilevel"/>
    <w:tmpl w:val="FE48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137CE5"/>
    <w:multiLevelType w:val="multilevel"/>
    <w:tmpl w:val="7774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436053"/>
    <w:multiLevelType w:val="hybridMultilevel"/>
    <w:tmpl w:val="6FD605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443E5A"/>
    <w:multiLevelType w:val="hybridMultilevel"/>
    <w:tmpl w:val="984E6108"/>
    <w:lvl w:ilvl="0" w:tplc="DD14D618">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7FF420C"/>
    <w:multiLevelType w:val="multilevel"/>
    <w:tmpl w:val="F3EC41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8ED6932"/>
    <w:multiLevelType w:val="hybridMultilevel"/>
    <w:tmpl w:val="D50E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D2E1C"/>
    <w:multiLevelType w:val="hybridMultilevel"/>
    <w:tmpl w:val="6A6A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877438"/>
    <w:multiLevelType w:val="hybridMultilevel"/>
    <w:tmpl w:val="359AA528"/>
    <w:lvl w:ilvl="0" w:tplc="0409000F">
      <w:start w:val="1"/>
      <w:numFmt w:val="decimal"/>
      <w:lvlText w:val="%1."/>
      <w:lvlJc w:val="left"/>
      <w:pPr>
        <w:ind w:left="882" w:hanging="360"/>
      </w:pPr>
      <w:rPr>
        <w:rFont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nsid w:val="58F03AAF"/>
    <w:multiLevelType w:val="hybridMultilevel"/>
    <w:tmpl w:val="20E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C9374C"/>
    <w:multiLevelType w:val="hybridMultilevel"/>
    <w:tmpl w:val="5C80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6F7111"/>
    <w:multiLevelType w:val="hybridMultilevel"/>
    <w:tmpl w:val="F5124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5300B3"/>
    <w:multiLevelType w:val="hybridMultilevel"/>
    <w:tmpl w:val="FA5A11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7037AE"/>
    <w:multiLevelType w:val="hybridMultilevel"/>
    <w:tmpl w:val="83DE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C97962"/>
    <w:multiLevelType w:val="hybridMultilevel"/>
    <w:tmpl w:val="D74AE08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8">
    <w:nsid w:val="74151B3B"/>
    <w:multiLevelType w:val="hybridMultilevel"/>
    <w:tmpl w:val="C7CA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C0642F"/>
    <w:multiLevelType w:val="hybridMultilevel"/>
    <w:tmpl w:val="59C8AE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FD0699"/>
    <w:multiLevelType w:val="hybridMultilevel"/>
    <w:tmpl w:val="8DA8D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004488"/>
    <w:multiLevelType w:val="hybridMultilevel"/>
    <w:tmpl w:val="8AB2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EF4480"/>
    <w:multiLevelType w:val="hybridMultilevel"/>
    <w:tmpl w:val="AB9E36E6"/>
    <w:lvl w:ilvl="0" w:tplc="04090001">
      <w:start w:val="1"/>
      <w:numFmt w:val="bullet"/>
      <w:lvlText w:val=""/>
      <w:lvlJc w:val="left"/>
      <w:pPr>
        <w:ind w:left="720" w:hanging="360"/>
      </w:pPr>
      <w:rPr>
        <w:rFonts w:ascii="Symbol" w:hAnsi="Symbol" w:hint="default"/>
      </w:rPr>
    </w:lvl>
    <w:lvl w:ilvl="1" w:tplc="9DF2CBC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2"/>
  </w:num>
  <w:num w:numId="4">
    <w:abstractNumId w:val="24"/>
  </w:num>
  <w:num w:numId="5">
    <w:abstractNumId w:val="3"/>
  </w:num>
  <w:num w:numId="6">
    <w:abstractNumId w:val="31"/>
  </w:num>
  <w:num w:numId="7">
    <w:abstractNumId w:val="5"/>
  </w:num>
  <w:num w:numId="8">
    <w:abstractNumId w:val="13"/>
  </w:num>
  <w:num w:numId="9">
    <w:abstractNumId w:val="11"/>
  </w:num>
  <w:num w:numId="10">
    <w:abstractNumId w:val="18"/>
  </w:num>
  <w:num w:numId="11">
    <w:abstractNumId w:val="15"/>
  </w:num>
  <w:num w:numId="12">
    <w:abstractNumId w:val="12"/>
  </w:num>
  <w:num w:numId="13">
    <w:abstractNumId w:val="25"/>
  </w:num>
  <w:num w:numId="14">
    <w:abstractNumId w:val="29"/>
  </w:num>
  <w:num w:numId="15">
    <w:abstractNumId w:val="16"/>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8"/>
  </w:num>
  <w:num w:numId="20">
    <w:abstractNumId w:val="27"/>
  </w:num>
  <w:num w:numId="21">
    <w:abstractNumId w:val="2"/>
  </w:num>
  <w:num w:numId="22">
    <w:abstractNumId w:val="8"/>
  </w:num>
  <w:num w:numId="23">
    <w:abstractNumId w:val="17"/>
  </w:num>
  <w:num w:numId="24">
    <w:abstractNumId w:val="26"/>
  </w:num>
  <w:num w:numId="25">
    <w:abstractNumId w:val="6"/>
  </w:num>
  <w:num w:numId="26">
    <w:abstractNumId w:val="10"/>
  </w:num>
  <w:num w:numId="27">
    <w:abstractNumId w:val="4"/>
  </w:num>
  <w:num w:numId="28">
    <w:abstractNumId w:val="21"/>
  </w:num>
  <w:num w:numId="29">
    <w:abstractNumId w:val="23"/>
  </w:num>
  <w:num w:numId="30">
    <w:abstractNumId w:val="19"/>
  </w:num>
  <w:num w:numId="31">
    <w:abstractNumId w:val="20"/>
  </w:num>
  <w:num w:numId="32">
    <w:abstractNumId w:val="0"/>
  </w:num>
  <w:num w:numId="33">
    <w:abstractNumId w:val="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14"/>
    <w:rsid w:val="00003ED6"/>
    <w:rsid w:val="00005C2C"/>
    <w:rsid w:val="000061B0"/>
    <w:rsid w:val="000068D2"/>
    <w:rsid w:val="00006F72"/>
    <w:rsid w:val="00007A66"/>
    <w:rsid w:val="00007C08"/>
    <w:rsid w:val="000106EC"/>
    <w:rsid w:val="000116AF"/>
    <w:rsid w:val="00011EA4"/>
    <w:rsid w:val="00012EF7"/>
    <w:rsid w:val="000136D7"/>
    <w:rsid w:val="00014E41"/>
    <w:rsid w:val="00014F14"/>
    <w:rsid w:val="000164EC"/>
    <w:rsid w:val="00016EB0"/>
    <w:rsid w:val="00016F66"/>
    <w:rsid w:val="00017FA6"/>
    <w:rsid w:val="00020CE2"/>
    <w:rsid w:val="000218BD"/>
    <w:rsid w:val="00022CFE"/>
    <w:rsid w:val="00022FC1"/>
    <w:rsid w:val="00023F8B"/>
    <w:rsid w:val="000241DC"/>
    <w:rsid w:val="000247A9"/>
    <w:rsid w:val="00024D01"/>
    <w:rsid w:val="00024ED7"/>
    <w:rsid w:val="00025FA3"/>
    <w:rsid w:val="000262A7"/>
    <w:rsid w:val="000269D4"/>
    <w:rsid w:val="00026BCD"/>
    <w:rsid w:val="00026DB3"/>
    <w:rsid w:val="000271F6"/>
    <w:rsid w:val="000274A0"/>
    <w:rsid w:val="000316FE"/>
    <w:rsid w:val="00031AD1"/>
    <w:rsid w:val="00031D40"/>
    <w:rsid w:val="00032E0B"/>
    <w:rsid w:val="00033428"/>
    <w:rsid w:val="000337C2"/>
    <w:rsid w:val="00033DAC"/>
    <w:rsid w:val="000354E3"/>
    <w:rsid w:val="00036469"/>
    <w:rsid w:val="000364DE"/>
    <w:rsid w:val="0003660E"/>
    <w:rsid w:val="00037E5C"/>
    <w:rsid w:val="000407C6"/>
    <w:rsid w:val="0004094B"/>
    <w:rsid w:val="000415E4"/>
    <w:rsid w:val="00041CE3"/>
    <w:rsid w:val="00042AE5"/>
    <w:rsid w:val="00043408"/>
    <w:rsid w:val="000437D8"/>
    <w:rsid w:val="00045758"/>
    <w:rsid w:val="00045FBA"/>
    <w:rsid w:val="00046738"/>
    <w:rsid w:val="00046A8D"/>
    <w:rsid w:val="000470BA"/>
    <w:rsid w:val="00047E97"/>
    <w:rsid w:val="000515B8"/>
    <w:rsid w:val="00052AD5"/>
    <w:rsid w:val="00052CFC"/>
    <w:rsid w:val="00053B8E"/>
    <w:rsid w:val="00054F9B"/>
    <w:rsid w:val="00055E56"/>
    <w:rsid w:val="00056269"/>
    <w:rsid w:val="00056487"/>
    <w:rsid w:val="00056BED"/>
    <w:rsid w:val="00056D99"/>
    <w:rsid w:val="00057B9B"/>
    <w:rsid w:val="00057C03"/>
    <w:rsid w:val="000602C2"/>
    <w:rsid w:val="00061344"/>
    <w:rsid w:val="00061BFD"/>
    <w:rsid w:val="00062076"/>
    <w:rsid w:val="00062708"/>
    <w:rsid w:val="00062794"/>
    <w:rsid w:val="00062A0D"/>
    <w:rsid w:val="00063573"/>
    <w:rsid w:val="00066367"/>
    <w:rsid w:val="00067A90"/>
    <w:rsid w:val="000707F3"/>
    <w:rsid w:val="00070D56"/>
    <w:rsid w:val="00071287"/>
    <w:rsid w:val="00071980"/>
    <w:rsid w:val="00071F1A"/>
    <w:rsid w:val="000727DB"/>
    <w:rsid w:val="00072C17"/>
    <w:rsid w:val="000735C2"/>
    <w:rsid w:val="000737CC"/>
    <w:rsid w:val="0007532A"/>
    <w:rsid w:val="00075923"/>
    <w:rsid w:val="00076198"/>
    <w:rsid w:val="00076502"/>
    <w:rsid w:val="0007652F"/>
    <w:rsid w:val="000766C9"/>
    <w:rsid w:val="00080388"/>
    <w:rsid w:val="00082C59"/>
    <w:rsid w:val="000831B9"/>
    <w:rsid w:val="000837C0"/>
    <w:rsid w:val="000839C7"/>
    <w:rsid w:val="00085065"/>
    <w:rsid w:val="000860DA"/>
    <w:rsid w:val="00086C6C"/>
    <w:rsid w:val="0008757B"/>
    <w:rsid w:val="000877F0"/>
    <w:rsid w:val="00087B44"/>
    <w:rsid w:val="00087CC6"/>
    <w:rsid w:val="00087F20"/>
    <w:rsid w:val="00091149"/>
    <w:rsid w:val="0009211A"/>
    <w:rsid w:val="00093472"/>
    <w:rsid w:val="000935A5"/>
    <w:rsid w:val="00093929"/>
    <w:rsid w:val="000950E7"/>
    <w:rsid w:val="0009535B"/>
    <w:rsid w:val="00096687"/>
    <w:rsid w:val="000966B3"/>
    <w:rsid w:val="00097456"/>
    <w:rsid w:val="00097CA6"/>
    <w:rsid w:val="000A011A"/>
    <w:rsid w:val="000A077F"/>
    <w:rsid w:val="000A0F55"/>
    <w:rsid w:val="000A1711"/>
    <w:rsid w:val="000A375A"/>
    <w:rsid w:val="000A3876"/>
    <w:rsid w:val="000A40D9"/>
    <w:rsid w:val="000A47F4"/>
    <w:rsid w:val="000A51DD"/>
    <w:rsid w:val="000A652D"/>
    <w:rsid w:val="000A6F88"/>
    <w:rsid w:val="000A6FF3"/>
    <w:rsid w:val="000B0B3F"/>
    <w:rsid w:val="000B288A"/>
    <w:rsid w:val="000B2F93"/>
    <w:rsid w:val="000B3BEE"/>
    <w:rsid w:val="000B40CF"/>
    <w:rsid w:val="000B4E5D"/>
    <w:rsid w:val="000B53CB"/>
    <w:rsid w:val="000B5D8B"/>
    <w:rsid w:val="000B668D"/>
    <w:rsid w:val="000B6ACD"/>
    <w:rsid w:val="000B6DE9"/>
    <w:rsid w:val="000B7F4D"/>
    <w:rsid w:val="000C2666"/>
    <w:rsid w:val="000C2BA4"/>
    <w:rsid w:val="000C3261"/>
    <w:rsid w:val="000C41D2"/>
    <w:rsid w:val="000C4355"/>
    <w:rsid w:val="000C5001"/>
    <w:rsid w:val="000C5144"/>
    <w:rsid w:val="000C655A"/>
    <w:rsid w:val="000C680E"/>
    <w:rsid w:val="000D00F6"/>
    <w:rsid w:val="000D06A1"/>
    <w:rsid w:val="000D29B9"/>
    <w:rsid w:val="000D3AF0"/>
    <w:rsid w:val="000D607E"/>
    <w:rsid w:val="000D629E"/>
    <w:rsid w:val="000D70ED"/>
    <w:rsid w:val="000D7175"/>
    <w:rsid w:val="000E06A1"/>
    <w:rsid w:val="000E0BA6"/>
    <w:rsid w:val="000E13DF"/>
    <w:rsid w:val="000E21BE"/>
    <w:rsid w:val="000E2B22"/>
    <w:rsid w:val="000E35E0"/>
    <w:rsid w:val="000E3DE4"/>
    <w:rsid w:val="000E475E"/>
    <w:rsid w:val="000E6AC7"/>
    <w:rsid w:val="000E6DAD"/>
    <w:rsid w:val="000F1654"/>
    <w:rsid w:val="000F2335"/>
    <w:rsid w:val="000F24C1"/>
    <w:rsid w:val="000F2574"/>
    <w:rsid w:val="000F2D44"/>
    <w:rsid w:val="000F33BB"/>
    <w:rsid w:val="000F3F3A"/>
    <w:rsid w:val="000F5736"/>
    <w:rsid w:val="000F6071"/>
    <w:rsid w:val="000F623D"/>
    <w:rsid w:val="000F65F7"/>
    <w:rsid w:val="000F66FA"/>
    <w:rsid w:val="000F6783"/>
    <w:rsid w:val="000F6D03"/>
    <w:rsid w:val="000F732E"/>
    <w:rsid w:val="00101502"/>
    <w:rsid w:val="00101910"/>
    <w:rsid w:val="001019A8"/>
    <w:rsid w:val="00101F00"/>
    <w:rsid w:val="00102EDD"/>
    <w:rsid w:val="00102FBE"/>
    <w:rsid w:val="00103113"/>
    <w:rsid w:val="001036A7"/>
    <w:rsid w:val="00103AE0"/>
    <w:rsid w:val="0010461F"/>
    <w:rsid w:val="0010467A"/>
    <w:rsid w:val="00104C49"/>
    <w:rsid w:val="001077D2"/>
    <w:rsid w:val="00113C83"/>
    <w:rsid w:val="00114501"/>
    <w:rsid w:val="0011517E"/>
    <w:rsid w:val="00115FEB"/>
    <w:rsid w:val="001164F0"/>
    <w:rsid w:val="001169E0"/>
    <w:rsid w:val="0011721A"/>
    <w:rsid w:val="00117993"/>
    <w:rsid w:val="00117997"/>
    <w:rsid w:val="001179D2"/>
    <w:rsid w:val="00123928"/>
    <w:rsid w:val="00123FF8"/>
    <w:rsid w:val="00124470"/>
    <w:rsid w:val="00124AC1"/>
    <w:rsid w:val="001256FF"/>
    <w:rsid w:val="0012588A"/>
    <w:rsid w:val="001265EF"/>
    <w:rsid w:val="00127606"/>
    <w:rsid w:val="00130E7E"/>
    <w:rsid w:val="0013103D"/>
    <w:rsid w:val="00131790"/>
    <w:rsid w:val="00131FE8"/>
    <w:rsid w:val="001328F4"/>
    <w:rsid w:val="00132DC9"/>
    <w:rsid w:val="0013361D"/>
    <w:rsid w:val="001344F3"/>
    <w:rsid w:val="00134E6E"/>
    <w:rsid w:val="00134E86"/>
    <w:rsid w:val="001375A9"/>
    <w:rsid w:val="0014090E"/>
    <w:rsid w:val="00141771"/>
    <w:rsid w:val="001424C6"/>
    <w:rsid w:val="00142526"/>
    <w:rsid w:val="00143358"/>
    <w:rsid w:val="001433A1"/>
    <w:rsid w:val="00143D21"/>
    <w:rsid w:val="00144913"/>
    <w:rsid w:val="001453D8"/>
    <w:rsid w:val="001455BF"/>
    <w:rsid w:val="001457CF"/>
    <w:rsid w:val="00146549"/>
    <w:rsid w:val="00147439"/>
    <w:rsid w:val="00147AE0"/>
    <w:rsid w:val="00150E2F"/>
    <w:rsid w:val="00152F5D"/>
    <w:rsid w:val="0015398D"/>
    <w:rsid w:val="001549F1"/>
    <w:rsid w:val="00154FDC"/>
    <w:rsid w:val="00155EE5"/>
    <w:rsid w:val="0015644B"/>
    <w:rsid w:val="00160B01"/>
    <w:rsid w:val="00161775"/>
    <w:rsid w:val="00161C7B"/>
    <w:rsid w:val="00161E8E"/>
    <w:rsid w:val="001620E3"/>
    <w:rsid w:val="00162AF4"/>
    <w:rsid w:val="00163BA3"/>
    <w:rsid w:val="00164683"/>
    <w:rsid w:val="00164897"/>
    <w:rsid w:val="00164B61"/>
    <w:rsid w:val="00166A0F"/>
    <w:rsid w:val="0016784A"/>
    <w:rsid w:val="00167DC6"/>
    <w:rsid w:val="00170F58"/>
    <w:rsid w:val="0017123E"/>
    <w:rsid w:val="00172E6F"/>
    <w:rsid w:val="00173194"/>
    <w:rsid w:val="00173926"/>
    <w:rsid w:val="00173E7A"/>
    <w:rsid w:val="00173FE6"/>
    <w:rsid w:val="00174327"/>
    <w:rsid w:val="001745B9"/>
    <w:rsid w:val="0017585C"/>
    <w:rsid w:val="001766F8"/>
    <w:rsid w:val="001771A4"/>
    <w:rsid w:val="00177501"/>
    <w:rsid w:val="001778D4"/>
    <w:rsid w:val="0018072A"/>
    <w:rsid w:val="001818B9"/>
    <w:rsid w:val="001818FF"/>
    <w:rsid w:val="00182887"/>
    <w:rsid w:val="001832AD"/>
    <w:rsid w:val="001832EA"/>
    <w:rsid w:val="00183AFA"/>
    <w:rsid w:val="00183CA8"/>
    <w:rsid w:val="00185C11"/>
    <w:rsid w:val="00186C3D"/>
    <w:rsid w:val="001870F8"/>
    <w:rsid w:val="0018763D"/>
    <w:rsid w:val="00187CD3"/>
    <w:rsid w:val="00190090"/>
    <w:rsid w:val="001904DB"/>
    <w:rsid w:val="00190B1A"/>
    <w:rsid w:val="001913B9"/>
    <w:rsid w:val="00191439"/>
    <w:rsid w:val="00191E10"/>
    <w:rsid w:val="00192DE0"/>
    <w:rsid w:val="00193AA4"/>
    <w:rsid w:val="00193B06"/>
    <w:rsid w:val="00194364"/>
    <w:rsid w:val="001954B2"/>
    <w:rsid w:val="00195BC8"/>
    <w:rsid w:val="00196002"/>
    <w:rsid w:val="00197352"/>
    <w:rsid w:val="00197DB0"/>
    <w:rsid w:val="001A1509"/>
    <w:rsid w:val="001A1790"/>
    <w:rsid w:val="001A17A7"/>
    <w:rsid w:val="001A1DA8"/>
    <w:rsid w:val="001A29DC"/>
    <w:rsid w:val="001A3951"/>
    <w:rsid w:val="001A3D18"/>
    <w:rsid w:val="001A560F"/>
    <w:rsid w:val="001A5EA2"/>
    <w:rsid w:val="001A636A"/>
    <w:rsid w:val="001B183A"/>
    <w:rsid w:val="001B1CDA"/>
    <w:rsid w:val="001B2B8A"/>
    <w:rsid w:val="001B33A9"/>
    <w:rsid w:val="001B4343"/>
    <w:rsid w:val="001B4541"/>
    <w:rsid w:val="001B521F"/>
    <w:rsid w:val="001B6AB3"/>
    <w:rsid w:val="001C22F6"/>
    <w:rsid w:val="001C250C"/>
    <w:rsid w:val="001C3C52"/>
    <w:rsid w:val="001C4A24"/>
    <w:rsid w:val="001C5131"/>
    <w:rsid w:val="001C56EC"/>
    <w:rsid w:val="001C6D15"/>
    <w:rsid w:val="001C6E8C"/>
    <w:rsid w:val="001C70F4"/>
    <w:rsid w:val="001D0B51"/>
    <w:rsid w:val="001D0EEC"/>
    <w:rsid w:val="001D138C"/>
    <w:rsid w:val="001D166A"/>
    <w:rsid w:val="001D17AA"/>
    <w:rsid w:val="001D234D"/>
    <w:rsid w:val="001D26EB"/>
    <w:rsid w:val="001D2BC5"/>
    <w:rsid w:val="001D3036"/>
    <w:rsid w:val="001D3B57"/>
    <w:rsid w:val="001D42B1"/>
    <w:rsid w:val="001D4C64"/>
    <w:rsid w:val="001D4DB5"/>
    <w:rsid w:val="001D6F16"/>
    <w:rsid w:val="001D773C"/>
    <w:rsid w:val="001D7EA3"/>
    <w:rsid w:val="001E007B"/>
    <w:rsid w:val="001E0A45"/>
    <w:rsid w:val="001E144B"/>
    <w:rsid w:val="001E2856"/>
    <w:rsid w:val="001E2A03"/>
    <w:rsid w:val="001E2A5E"/>
    <w:rsid w:val="001E2E23"/>
    <w:rsid w:val="001E3115"/>
    <w:rsid w:val="001E4456"/>
    <w:rsid w:val="001E46EE"/>
    <w:rsid w:val="001E4C35"/>
    <w:rsid w:val="001E581F"/>
    <w:rsid w:val="001E5BDF"/>
    <w:rsid w:val="001E63B5"/>
    <w:rsid w:val="001E64EC"/>
    <w:rsid w:val="001E76B0"/>
    <w:rsid w:val="001F04F7"/>
    <w:rsid w:val="001F0DF2"/>
    <w:rsid w:val="001F1A70"/>
    <w:rsid w:val="001F1CD5"/>
    <w:rsid w:val="001F25AF"/>
    <w:rsid w:val="001F2C77"/>
    <w:rsid w:val="001F373E"/>
    <w:rsid w:val="001F435E"/>
    <w:rsid w:val="001F4475"/>
    <w:rsid w:val="001F45F1"/>
    <w:rsid w:val="001F4D4C"/>
    <w:rsid w:val="001F5372"/>
    <w:rsid w:val="001F583F"/>
    <w:rsid w:val="001F5E1F"/>
    <w:rsid w:val="001F7832"/>
    <w:rsid w:val="001F7C44"/>
    <w:rsid w:val="001F7E31"/>
    <w:rsid w:val="002008C8"/>
    <w:rsid w:val="0020241E"/>
    <w:rsid w:val="002024C2"/>
    <w:rsid w:val="00203022"/>
    <w:rsid w:val="00203EDA"/>
    <w:rsid w:val="00203FE1"/>
    <w:rsid w:val="00204078"/>
    <w:rsid w:val="00204796"/>
    <w:rsid w:val="002053B2"/>
    <w:rsid w:val="002062A0"/>
    <w:rsid w:val="00207455"/>
    <w:rsid w:val="002101DE"/>
    <w:rsid w:val="00212303"/>
    <w:rsid w:val="0021277D"/>
    <w:rsid w:val="00212954"/>
    <w:rsid w:val="0021332E"/>
    <w:rsid w:val="002134CB"/>
    <w:rsid w:val="002141DC"/>
    <w:rsid w:val="002147BB"/>
    <w:rsid w:val="00215FA4"/>
    <w:rsid w:val="00217259"/>
    <w:rsid w:val="002172E7"/>
    <w:rsid w:val="002179EB"/>
    <w:rsid w:val="002179F0"/>
    <w:rsid w:val="00217D95"/>
    <w:rsid w:val="00220C77"/>
    <w:rsid w:val="0022203D"/>
    <w:rsid w:val="002228A8"/>
    <w:rsid w:val="0022371A"/>
    <w:rsid w:val="002238AE"/>
    <w:rsid w:val="00223AB6"/>
    <w:rsid w:val="00224366"/>
    <w:rsid w:val="00225024"/>
    <w:rsid w:val="00226717"/>
    <w:rsid w:val="00230B22"/>
    <w:rsid w:val="00231350"/>
    <w:rsid w:val="00231C62"/>
    <w:rsid w:val="00232AE2"/>
    <w:rsid w:val="00233500"/>
    <w:rsid w:val="0023368B"/>
    <w:rsid w:val="002337B4"/>
    <w:rsid w:val="00233C26"/>
    <w:rsid w:val="002350FF"/>
    <w:rsid w:val="00235655"/>
    <w:rsid w:val="002357B6"/>
    <w:rsid w:val="00235A0B"/>
    <w:rsid w:val="002364F7"/>
    <w:rsid w:val="002368E4"/>
    <w:rsid w:val="00236EFE"/>
    <w:rsid w:val="00237107"/>
    <w:rsid w:val="002376FC"/>
    <w:rsid w:val="00237B58"/>
    <w:rsid w:val="00240010"/>
    <w:rsid w:val="00240282"/>
    <w:rsid w:val="00240286"/>
    <w:rsid w:val="00240393"/>
    <w:rsid w:val="002403D1"/>
    <w:rsid w:val="00240FFA"/>
    <w:rsid w:val="0024310B"/>
    <w:rsid w:val="0024379F"/>
    <w:rsid w:val="00243C19"/>
    <w:rsid w:val="002448F3"/>
    <w:rsid w:val="002455CC"/>
    <w:rsid w:val="00246A67"/>
    <w:rsid w:val="00247525"/>
    <w:rsid w:val="00247B1C"/>
    <w:rsid w:val="00250739"/>
    <w:rsid w:val="00250BC3"/>
    <w:rsid w:val="0025143B"/>
    <w:rsid w:val="00251DB6"/>
    <w:rsid w:val="002522BA"/>
    <w:rsid w:val="00252E83"/>
    <w:rsid w:val="00254047"/>
    <w:rsid w:val="002540A2"/>
    <w:rsid w:val="00254EC1"/>
    <w:rsid w:val="00256AD5"/>
    <w:rsid w:val="0025743B"/>
    <w:rsid w:val="0025791D"/>
    <w:rsid w:val="002600B0"/>
    <w:rsid w:val="00260AA5"/>
    <w:rsid w:val="00260B7C"/>
    <w:rsid w:val="00261944"/>
    <w:rsid w:val="00262380"/>
    <w:rsid w:val="00263E38"/>
    <w:rsid w:val="002651CD"/>
    <w:rsid w:val="002657AB"/>
    <w:rsid w:val="0026580D"/>
    <w:rsid w:val="00265979"/>
    <w:rsid w:val="00266452"/>
    <w:rsid w:val="002664E8"/>
    <w:rsid w:val="00267121"/>
    <w:rsid w:val="002675E9"/>
    <w:rsid w:val="00267A4A"/>
    <w:rsid w:val="00267F18"/>
    <w:rsid w:val="00270846"/>
    <w:rsid w:val="00270B69"/>
    <w:rsid w:val="0027157C"/>
    <w:rsid w:val="00271858"/>
    <w:rsid w:val="002721DD"/>
    <w:rsid w:val="002731CA"/>
    <w:rsid w:val="0027484B"/>
    <w:rsid w:val="00275106"/>
    <w:rsid w:val="002759D0"/>
    <w:rsid w:val="00275A5B"/>
    <w:rsid w:val="00275EC5"/>
    <w:rsid w:val="0027604A"/>
    <w:rsid w:val="00276406"/>
    <w:rsid w:val="00276CEA"/>
    <w:rsid w:val="00276EC6"/>
    <w:rsid w:val="00277ED6"/>
    <w:rsid w:val="0028091C"/>
    <w:rsid w:val="002841AC"/>
    <w:rsid w:val="00284B61"/>
    <w:rsid w:val="00284E4B"/>
    <w:rsid w:val="00284F91"/>
    <w:rsid w:val="002857A3"/>
    <w:rsid w:val="002879F1"/>
    <w:rsid w:val="0029080B"/>
    <w:rsid w:val="00290986"/>
    <w:rsid w:val="00290D1D"/>
    <w:rsid w:val="00290D8F"/>
    <w:rsid w:val="00290ED4"/>
    <w:rsid w:val="002913C7"/>
    <w:rsid w:val="002929E5"/>
    <w:rsid w:val="00292FC8"/>
    <w:rsid w:val="0029526A"/>
    <w:rsid w:val="00295ABC"/>
    <w:rsid w:val="0029756A"/>
    <w:rsid w:val="002A0404"/>
    <w:rsid w:val="002A09B7"/>
    <w:rsid w:val="002A0D5F"/>
    <w:rsid w:val="002A19F6"/>
    <w:rsid w:val="002A1B6D"/>
    <w:rsid w:val="002A1D14"/>
    <w:rsid w:val="002A3608"/>
    <w:rsid w:val="002A38F0"/>
    <w:rsid w:val="002A4ABF"/>
    <w:rsid w:val="002A4DE0"/>
    <w:rsid w:val="002A65C1"/>
    <w:rsid w:val="002A6983"/>
    <w:rsid w:val="002A725C"/>
    <w:rsid w:val="002A7E80"/>
    <w:rsid w:val="002B030E"/>
    <w:rsid w:val="002B0DD2"/>
    <w:rsid w:val="002B12D7"/>
    <w:rsid w:val="002B2221"/>
    <w:rsid w:val="002B2D75"/>
    <w:rsid w:val="002B3A0E"/>
    <w:rsid w:val="002B45AE"/>
    <w:rsid w:val="002B48AD"/>
    <w:rsid w:val="002B6528"/>
    <w:rsid w:val="002B6A1E"/>
    <w:rsid w:val="002B6A99"/>
    <w:rsid w:val="002B6F8E"/>
    <w:rsid w:val="002B7B2C"/>
    <w:rsid w:val="002C1A21"/>
    <w:rsid w:val="002C3CEE"/>
    <w:rsid w:val="002C5C0C"/>
    <w:rsid w:val="002C63F0"/>
    <w:rsid w:val="002C6549"/>
    <w:rsid w:val="002C6A15"/>
    <w:rsid w:val="002C6ECB"/>
    <w:rsid w:val="002C77F8"/>
    <w:rsid w:val="002D079B"/>
    <w:rsid w:val="002D0E4A"/>
    <w:rsid w:val="002D162A"/>
    <w:rsid w:val="002D1CCC"/>
    <w:rsid w:val="002D22EC"/>
    <w:rsid w:val="002D24AA"/>
    <w:rsid w:val="002D28E3"/>
    <w:rsid w:val="002D2F26"/>
    <w:rsid w:val="002D3A95"/>
    <w:rsid w:val="002D45B8"/>
    <w:rsid w:val="002D5597"/>
    <w:rsid w:val="002D5720"/>
    <w:rsid w:val="002D5932"/>
    <w:rsid w:val="002D5DB1"/>
    <w:rsid w:val="002D64E9"/>
    <w:rsid w:val="002D70F5"/>
    <w:rsid w:val="002E0755"/>
    <w:rsid w:val="002E1649"/>
    <w:rsid w:val="002E16BB"/>
    <w:rsid w:val="002E2893"/>
    <w:rsid w:val="002E2A51"/>
    <w:rsid w:val="002E3BF9"/>
    <w:rsid w:val="002E3DEA"/>
    <w:rsid w:val="002E5DC8"/>
    <w:rsid w:val="002E63F0"/>
    <w:rsid w:val="002E6B41"/>
    <w:rsid w:val="002E74CE"/>
    <w:rsid w:val="002E7E11"/>
    <w:rsid w:val="002F0277"/>
    <w:rsid w:val="002F0730"/>
    <w:rsid w:val="002F074C"/>
    <w:rsid w:val="002F0AF0"/>
    <w:rsid w:val="002F0BA7"/>
    <w:rsid w:val="002F2139"/>
    <w:rsid w:val="002F2508"/>
    <w:rsid w:val="002F3AFC"/>
    <w:rsid w:val="002F3BFF"/>
    <w:rsid w:val="002F47C6"/>
    <w:rsid w:val="002F506B"/>
    <w:rsid w:val="002F672B"/>
    <w:rsid w:val="002F695A"/>
    <w:rsid w:val="002F72F2"/>
    <w:rsid w:val="002F73F5"/>
    <w:rsid w:val="002F798F"/>
    <w:rsid w:val="00300302"/>
    <w:rsid w:val="003010F2"/>
    <w:rsid w:val="00302455"/>
    <w:rsid w:val="00302A3F"/>
    <w:rsid w:val="00302FF3"/>
    <w:rsid w:val="003035ED"/>
    <w:rsid w:val="00303D4A"/>
    <w:rsid w:val="0030496D"/>
    <w:rsid w:val="00304ECB"/>
    <w:rsid w:val="003050E4"/>
    <w:rsid w:val="00305B7D"/>
    <w:rsid w:val="00306380"/>
    <w:rsid w:val="00307554"/>
    <w:rsid w:val="00311A42"/>
    <w:rsid w:val="0031433C"/>
    <w:rsid w:val="00314756"/>
    <w:rsid w:val="003151FB"/>
    <w:rsid w:val="00315213"/>
    <w:rsid w:val="00315A13"/>
    <w:rsid w:val="00316796"/>
    <w:rsid w:val="003169F0"/>
    <w:rsid w:val="003176B2"/>
    <w:rsid w:val="0032007C"/>
    <w:rsid w:val="00320430"/>
    <w:rsid w:val="003207DB"/>
    <w:rsid w:val="003208C7"/>
    <w:rsid w:val="00320E53"/>
    <w:rsid w:val="0032107F"/>
    <w:rsid w:val="00321282"/>
    <w:rsid w:val="00321958"/>
    <w:rsid w:val="00321E88"/>
    <w:rsid w:val="00322638"/>
    <w:rsid w:val="003226AD"/>
    <w:rsid w:val="0032274C"/>
    <w:rsid w:val="003235D4"/>
    <w:rsid w:val="00323B84"/>
    <w:rsid w:val="003247F5"/>
    <w:rsid w:val="00324AC8"/>
    <w:rsid w:val="00325A46"/>
    <w:rsid w:val="00326C3B"/>
    <w:rsid w:val="00327670"/>
    <w:rsid w:val="00327D79"/>
    <w:rsid w:val="00327DB5"/>
    <w:rsid w:val="00327F01"/>
    <w:rsid w:val="00332AE3"/>
    <w:rsid w:val="00332CBF"/>
    <w:rsid w:val="00332FBA"/>
    <w:rsid w:val="00333292"/>
    <w:rsid w:val="0033403D"/>
    <w:rsid w:val="00334499"/>
    <w:rsid w:val="00334DB3"/>
    <w:rsid w:val="00335481"/>
    <w:rsid w:val="00335E82"/>
    <w:rsid w:val="00336D86"/>
    <w:rsid w:val="0034075C"/>
    <w:rsid w:val="00341141"/>
    <w:rsid w:val="00342A73"/>
    <w:rsid w:val="003430C7"/>
    <w:rsid w:val="00343902"/>
    <w:rsid w:val="00345781"/>
    <w:rsid w:val="00345DF1"/>
    <w:rsid w:val="003463DD"/>
    <w:rsid w:val="00346BD1"/>
    <w:rsid w:val="00347AEF"/>
    <w:rsid w:val="0035050C"/>
    <w:rsid w:val="003518ED"/>
    <w:rsid w:val="00351C06"/>
    <w:rsid w:val="00351C66"/>
    <w:rsid w:val="00351C7C"/>
    <w:rsid w:val="003525D8"/>
    <w:rsid w:val="003534B8"/>
    <w:rsid w:val="003537CD"/>
    <w:rsid w:val="003566B8"/>
    <w:rsid w:val="003571E1"/>
    <w:rsid w:val="00360085"/>
    <w:rsid w:val="00360835"/>
    <w:rsid w:val="003614AA"/>
    <w:rsid w:val="00361895"/>
    <w:rsid w:val="003618B6"/>
    <w:rsid w:val="003619F9"/>
    <w:rsid w:val="0036256E"/>
    <w:rsid w:val="00362720"/>
    <w:rsid w:val="0036284A"/>
    <w:rsid w:val="00366814"/>
    <w:rsid w:val="003668EF"/>
    <w:rsid w:val="00370075"/>
    <w:rsid w:val="003705EA"/>
    <w:rsid w:val="00371560"/>
    <w:rsid w:val="00372430"/>
    <w:rsid w:val="00372CD5"/>
    <w:rsid w:val="00373457"/>
    <w:rsid w:val="00374DC5"/>
    <w:rsid w:val="00375603"/>
    <w:rsid w:val="00375B8E"/>
    <w:rsid w:val="00375CE9"/>
    <w:rsid w:val="00376050"/>
    <w:rsid w:val="0037616B"/>
    <w:rsid w:val="003761B2"/>
    <w:rsid w:val="00377616"/>
    <w:rsid w:val="003804FC"/>
    <w:rsid w:val="00381374"/>
    <w:rsid w:val="00381AD0"/>
    <w:rsid w:val="00381C5C"/>
    <w:rsid w:val="0038276B"/>
    <w:rsid w:val="00383F6A"/>
    <w:rsid w:val="00384485"/>
    <w:rsid w:val="00385119"/>
    <w:rsid w:val="003853BD"/>
    <w:rsid w:val="00385910"/>
    <w:rsid w:val="00386AB2"/>
    <w:rsid w:val="00386C67"/>
    <w:rsid w:val="00390518"/>
    <w:rsid w:val="0039058F"/>
    <w:rsid w:val="003905D3"/>
    <w:rsid w:val="003919D0"/>
    <w:rsid w:val="00392F53"/>
    <w:rsid w:val="0039321D"/>
    <w:rsid w:val="0039367F"/>
    <w:rsid w:val="0039412B"/>
    <w:rsid w:val="0039458D"/>
    <w:rsid w:val="00394D40"/>
    <w:rsid w:val="003952EB"/>
    <w:rsid w:val="00395492"/>
    <w:rsid w:val="00395EF8"/>
    <w:rsid w:val="0039680F"/>
    <w:rsid w:val="00396A12"/>
    <w:rsid w:val="00396C01"/>
    <w:rsid w:val="00396EBE"/>
    <w:rsid w:val="00397753"/>
    <w:rsid w:val="00397B7F"/>
    <w:rsid w:val="003A1E69"/>
    <w:rsid w:val="003A1E8E"/>
    <w:rsid w:val="003A22BD"/>
    <w:rsid w:val="003A2595"/>
    <w:rsid w:val="003A2805"/>
    <w:rsid w:val="003A2EA3"/>
    <w:rsid w:val="003A46D9"/>
    <w:rsid w:val="003A5096"/>
    <w:rsid w:val="003A5379"/>
    <w:rsid w:val="003A5EE0"/>
    <w:rsid w:val="003A708A"/>
    <w:rsid w:val="003A717A"/>
    <w:rsid w:val="003A7F06"/>
    <w:rsid w:val="003B0269"/>
    <w:rsid w:val="003B0888"/>
    <w:rsid w:val="003B0D40"/>
    <w:rsid w:val="003B1C5D"/>
    <w:rsid w:val="003B348C"/>
    <w:rsid w:val="003B395D"/>
    <w:rsid w:val="003B3BAD"/>
    <w:rsid w:val="003B43C6"/>
    <w:rsid w:val="003B4C36"/>
    <w:rsid w:val="003B563D"/>
    <w:rsid w:val="003B5860"/>
    <w:rsid w:val="003B5F98"/>
    <w:rsid w:val="003B68DF"/>
    <w:rsid w:val="003B69F2"/>
    <w:rsid w:val="003B6F68"/>
    <w:rsid w:val="003B77E4"/>
    <w:rsid w:val="003C05CA"/>
    <w:rsid w:val="003C0749"/>
    <w:rsid w:val="003C0B88"/>
    <w:rsid w:val="003C1312"/>
    <w:rsid w:val="003C21B9"/>
    <w:rsid w:val="003C25A7"/>
    <w:rsid w:val="003C3BA3"/>
    <w:rsid w:val="003C3F40"/>
    <w:rsid w:val="003C3F7E"/>
    <w:rsid w:val="003C582A"/>
    <w:rsid w:val="003C58DD"/>
    <w:rsid w:val="003C625F"/>
    <w:rsid w:val="003C64BE"/>
    <w:rsid w:val="003C6DAB"/>
    <w:rsid w:val="003C73A2"/>
    <w:rsid w:val="003C7686"/>
    <w:rsid w:val="003C7E9C"/>
    <w:rsid w:val="003D03C9"/>
    <w:rsid w:val="003D0E95"/>
    <w:rsid w:val="003D0F38"/>
    <w:rsid w:val="003D19AB"/>
    <w:rsid w:val="003D2696"/>
    <w:rsid w:val="003D2C12"/>
    <w:rsid w:val="003D34C0"/>
    <w:rsid w:val="003D3800"/>
    <w:rsid w:val="003D4F76"/>
    <w:rsid w:val="003D5265"/>
    <w:rsid w:val="003D5922"/>
    <w:rsid w:val="003D5EA1"/>
    <w:rsid w:val="003D64F7"/>
    <w:rsid w:val="003D6A14"/>
    <w:rsid w:val="003E0475"/>
    <w:rsid w:val="003E06DD"/>
    <w:rsid w:val="003E0739"/>
    <w:rsid w:val="003E21DE"/>
    <w:rsid w:val="003E27C7"/>
    <w:rsid w:val="003E38BC"/>
    <w:rsid w:val="003E39A0"/>
    <w:rsid w:val="003E4921"/>
    <w:rsid w:val="003E50CC"/>
    <w:rsid w:val="003E58A6"/>
    <w:rsid w:val="003F0679"/>
    <w:rsid w:val="003F1D97"/>
    <w:rsid w:val="003F44FF"/>
    <w:rsid w:val="003F4A80"/>
    <w:rsid w:val="003F51F3"/>
    <w:rsid w:val="003F583B"/>
    <w:rsid w:val="003F5FFA"/>
    <w:rsid w:val="003F635F"/>
    <w:rsid w:val="003F683E"/>
    <w:rsid w:val="003F7EDF"/>
    <w:rsid w:val="003F7FF4"/>
    <w:rsid w:val="00400679"/>
    <w:rsid w:val="00401BAF"/>
    <w:rsid w:val="00402883"/>
    <w:rsid w:val="00402B96"/>
    <w:rsid w:val="0040321C"/>
    <w:rsid w:val="00403DAC"/>
    <w:rsid w:val="0040443D"/>
    <w:rsid w:val="00404CEB"/>
    <w:rsid w:val="00404EA5"/>
    <w:rsid w:val="00405013"/>
    <w:rsid w:val="00406B5B"/>
    <w:rsid w:val="004102A1"/>
    <w:rsid w:val="00410957"/>
    <w:rsid w:val="0041385B"/>
    <w:rsid w:val="00413C56"/>
    <w:rsid w:val="00413D28"/>
    <w:rsid w:val="00414E02"/>
    <w:rsid w:val="0041577C"/>
    <w:rsid w:val="00415803"/>
    <w:rsid w:val="00415C8D"/>
    <w:rsid w:val="00416E9C"/>
    <w:rsid w:val="004170DE"/>
    <w:rsid w:val="00420B4D"/>
    <w:rsid w:val="00421849"/>
    <w:rsid w:val="004219C9"/>
    <w:rsid w:val="00421E21"/>
    <w:rsid w:val="004231E7"/>
    <w:rsid w:val="004241D9"/>
    <w:rsid w:val="0042423F"/>
    <w:rsid w:val="00424AD7"/>
    <w:rsid w:val="0042560E"/>
    <w:rsid w:val="0042574A"/>
    <w:rsid w:val="00427406"/>
    <w:rsid w:val="00427FFE"/>
    <w:rsid w:val="0043081E"/>
    <w:rsid w:val="00431185"/>
    <w:rsid w:val="00431B5D"/>
    <w:rsid w:val="00431E61"/>
    <w:rsid w:val="00432338"/>
    <w:rsid w:val="00432D5D"/>
    <w:rsid w:val="00433656"/>
    <w:rsid w:val="004365D9"/>
    <w:rsid w:val="00436954"/>
    <w:rsid w:val="00437254"/>
    <w:rsid w:val="00437EE1"/>
    <w:rsid w:val="00440DF9"/>
    <w:rsid w:val="00440F85"/>
    <w:rsid w:val="004416E9"/>
    <w:rsid w:val="00442CE6"/>
    <w:rsid w:val="00445D08"/>
    <w:rsid w:val="00445DEF"/>
    <w:rsid w:val="004468EF"/>
    <w:rsid w:val="00447001"/>
    <w:rsid w:val="00451F98"/>
    <w:rsid w:val="004534BC"/>
    <w:rsid w:val="0045386D"/>
    <w:rsid w:val="004554DF"/>
    <w:rsid w:val="00455559"/>
    <w:rsid w:val="00455B5D"/>
    <w:rsid w:val="004562A9"/>
    <w:rsid w:val="004568ED"/>
    <w:rsid w:val="00456EB7"/>
    <w:rsid w:val="00457DA7"/>
    <w:rsid w:val="004613C7"/>
    <w:rsid w:val="00461511"/>
    <w:rsid w:val="00461FB6"/>
    <w:rsid w:val="00461FC7"/>
    <w:rsid w:val="00462095"/>
    <w:rsid w:val="0046247F"/>
    <w:rsid w:val="00462FD7"/>
    <w:rsid w:val="00464286"/>
    <w:rsid w:val="00464648"/>
    <w:rsid w:val="00464C99"/>
    <w:rsid w:val="00464D0B"/>
    <w:rsid w:val="0046593B"/>
    <w:rsid w:val="00465C67"/>
    <w:rsid w:val="004671EC"/>
    <w:rsid w:val="004676D2"/>
    <w:rsid w:val="004677FF"/>
    <w:rsid w:val="004712BD"/>
    <w:rsid w:val="0047269F"/>
    <w:rsid w:val="0047287B"/>
    <w:rsid w:val="004735C5"/>
    <w:rsid w:val="0047393D"/>
    <w:rsid w:val="00473EE0"/>
    <w:rsid w:val="00474AE5"/>
    <w:rsid w:val="00474D80"/>
    <w:rsid w:val="00475153"/>
    <w:rsid w:val="00475A17"/>
    <w:rsid w:val="00476BED"/>
    <w:rsid w:val="00480F95"/>
    <w:rsid w:val="004811D1"/>
    <w:rsid w:val="00482855"/>
    <w:rsid w:val="004829B4"/>
    <w:rsid w:val="00482BA6"/>
    <w:rsid w:val="0048310F"/>
    <w:rsid w:val="00483208"/>
    <w:rsid w:val="0048333E"/>
    <w:rsid w:val="00484BFF"/>
    <w:rsid w:val="00485419"/>
    <w:rsid w:val="00486E98"/>
    <w:rsid w:val="00486E9C"/>
    <w:rsid w:val="004875DB"/>
    <w:rsid w:val="00490E80"/>
    <w:rsid w:val="004913DF"/>
    <w:rsid w:val="00491567"/>
    <w:rsid w:val="0049173E"/>
    <w:rsid w:val="004926D1"/>
    <w:rsid w:val="00492CBC"/>
    <w:rsid w:val="00493A0E"/>
    <w:rsid w:val="00493DAB"/>
    <w:rsid w:val="00494376"/>
    <w:rsid w:val="00494F1C"/>
    <w:rsid w:val="00495551"/>
    <w:rsid w:val="00495831"/>
    <w:rsid w:val="00496356"/>
    <w:rsid w:val="004A00CF"/>
    <w:rsid w:val="004A1183"/>
    <w:rsid w:val="004A124E"/>
    <w:rsid w:val="004A2865"/>
    <w:rsid w:val="004A33EF"/>
    <w:rsid w:val="004A351B"/>
    <w:rsid w:val="004A36A5"/>
    <w:rsid w:val="004A3EE6"/>
    <w:rsid w:val="004A4668"/>
    <w:rsid w:val="004A48ED"/>
    <w:rsid w:val="004A52E2"/>
    <w:rsid w:val="004A540E"/>
    <w:rsid w:val="004A631D"/>
    <w:rsid w:val="004A79A5"/>
    <w:rsid w:val="004B01FB"/>
    <w:rsid w:val="004B2109"/>
    <w:rsid w:val="004B28D7"/>
    <w:rsid w:val="004B3027"/>
    <w:rsid w:val="004B571E"/>
    <w:rsid w:val="004B62CD"/>
    <w:rsid w:val="004B6380"/>
    <w:rsid w:val="004B7FAC"/>
    <w:rsid w:val="004C1084"/>
    <w:rsid w:val="004C10AA"/>
    <w:rsid w:val="004C11BA"/>
    <w:rsid w:val="004C1898"/>
    <w:rsid w:val="004C26A5"/>
    <w:rsid w:val="004C2BE8"/>
    <w:rsid w:val="004C2FB8"/>
    <w:rsid w:val="004C310B"/>
    <w:rsid w:val="004C31EA"/>
    <w:rsid w:val="004C5185"/>
    <w:rsid w:val="004C5210"/>
    <w:rsid w:val="004C5B4E"/>
    <w:rsid w:val="004C726C"/>
    <w:rsid w:val="004C757A"/>
    <w:rsid w:val="004D19B6"/>
    <w:rsid w:val="004D2183"/>
    <w:rsid w:val="004D28AA"/>
    <w:rsid w:val="004D28D8"/>
    <w:rsid w:val="004D2E15"/>
    <w:rsid w:val="004D39A8"/>
    <w:rsid w:val="004D3F32"/>
    <w:rsid w:val="004D4D7F"/>
    <w:rsid w:val="004D5A50"/>
    <w:rsid w:val="004D6A4F"/>
    <w:rsid w:val="004D761C"/>
    <w:rsid w:val="004D7765"/>
    <w:rsid w:val="004D7D47"/>
    <w:rsid w:val="004E02C0"/>
    <w:rsid w:val="004E02DD"/>
    <w:rsid w:val="004E1515"/>
    <w:rsid w:val="004E158F"/>
    <w:rsid w:val="004E1DDB"/>
    <w:rsid w:val="004E20CB"/>
    <w:rsid w:val="004E2569"/>
    <w:rsid w:val="004E2968"/>
    <w:rsid w:val="004E2C10"/>
    <w:rsid w:val="004E2D01"/>
    <w:rsid w:val="004E37D6"/>
    <w:rsid w:val="004E3CE4"/>
    <w:rsid w:val="004E4369"/>
    <w:rsid w:val="004E53A6"/>
    <w:rsid w:val="004E5FF5"/>
    <w:rsid w:val="004E6464"/>
    <w:rsid w:val="004E6512"/>
    <w:rsid w:val="004E78AF"/>
    <w:rsid w:val="004F01CE"/>
    <w:rsid w:val="004F08AB"/>
    <w:rsid w:val="004F1273"/>
    <w:rsid w:val="004F1C2D"/>
    <w:rsid w:val="004F25B4"/>
    <w:rsid w:val="004F2959"/>
    <w:rsid w:val="004F2DD5"/>
    <w:rsid w:val="004F2F10"/>
    <w:rsid w:val="004F38E1"/>
    <w:rsid w:val="004F54DF"/>
    <w:rsid w:val="004F58A6"/>
    <w:rsid w:val="004F5C81"/>
    <w:rsid w:val="004F7E49"/>
    <w:rsid w:val="00500F18"/>
    <w:rsid w:val="00501BF8"/>
    <w:rsid w:val="00501D31"/>
    <w:rsid w:val="00502479"/>
    <w:rsid w:val="00502961"/>
    <w:rsid w:val="00502CC6"/>
    <w:rsid w:val="005031FE"/>
    <w:rsid w:val="005036FB"/>
    <w:rsid w:val="00505042"/>
    <w:rsid w:val="005056F9"/>
    <w:rsid w:val="00506451"/>
    <w:rsid w:val="00506FAF"/>
    <w:rsid w:val="005072CC"/>
    <w:rsid w:val="00507AE3"/>
    <w:rsid w:val="00507B96"/>
    <w:rsid w:val="00511467"/>
    <w:rsid w:val="00511D99"/>
    <w:rsid w:val="00512C7D"/>
    <w:rsid w:val="005154F5"/>
    <w:rsid w:val="0051556B"/>
    <w:rsid w:val="00515722"/>
    <w:rsid w:val="005157D6"/>
    <w:rsid w:val="00516A1C"/>
    <w:rsid w:val="00520960"/>
    <w:rsid w:val="00521617"/>
    <w:rsid w:val="005222AC"/>
    <w:rsid w:val="00522EF8"/>
    <w:rsid w:val="00522F09"/>
    <w:rsid w:val="005230BF"/>
    <w:rsid w:val="00523965"/>
    <w:rsid w:val="005241B0"/>
    <w:rsid w:val="0052446B"/>
    <w:rsid w:val="00524940"/>
    <w:rsid w:val="00526351"/>
    <w:rsid w:val="00526E18"/>
    <w:rsid w:val="00531A3E"/>
    <w:rsid w:val="00531A4D"/>
    <w:rsid w:val="005330AB"/>
    <w:rsid w:val="00534004"/>
    <w:rsid w:val="005340C1"/>
    <w:rsid w:val="00534ACC"/>
    <w:rsid w:val="00535675"/>
    <w:rsid w:val="00535ABC"/>
    <w:rsid w:val="00536CFE"/>
    <w:rsid w:val="00540CDE"/>
    <w:rsid w:val="0054147A"/>
    <w:rsid w:val="005420C3"/>
    <w:rsid w:val="00542991"/>
    <w:rsid w:val="0054474E"/>
    <w:rsid w:val="00545125"/>
    <w:rsid w:val="00545617"/>
    <w:rsid w:val="005456DE"/>
    <w:rsid w:val="005464F2"/>
    <w:rsid w:val="005471ED"/>
    <w:rsid w:val="0054772D"/>
    <w:rsid w:val="00547F55"/>
    <w:rsid w:val="0055137D"/>
    <w:rsid w:val="00552050"/>
    <w:rsid w:val="00552FB1"/>
    <w:rsid w:val="005542A5"/>
    <w:rsid w:val="00554393"/>
    <w:rsid w:val="005547B4"/>
    <w:rsid w:val="00554E89"/>
    <w:rsid w:val="00555727"/>
    <w:rsid w:val="00556D9A"/>
    <w:rsid w:val="005603DE"/>
    <w:rsid w:val="00560A3B"/>
    <w:rsid w:val="00561FA0"/>
    <w:rsid w:val="0056286E"/>
    <w:rsid w:val="00563328"/>
    <w:rsid w:val="00563736"/>
    <w:rsid w:val="00563B42"/>
    <w:rsid w:val="00564010"/>
    <w:rsid w:val="005658FC"/>
    <w:rsid w:val="005659BC"/>
    <w:rsid w:val="00565B6B"/>
    <w:rsid w:val="005661F0"/>
    <w:rsid w:val="0056664E"/>
    <w:rsid w:val="005668B6"/>
    <w:rsid w:val="00567322"/>
    <w:rsid w:val="00567D8A"/>
    <w:rsid w:val="005709A3"/>
    <w:rsid w:val="00571062"/>
    <w:rsid w:val="005714F5"/>
    <w:rsid w:val="00571DB5"/>
    <w:rsid w:val="00571DE1"/>
    <w:rsid w:val="00571E7A"/>
    <w:rsid w:val="0057221A"/>
    <w:rsid w:val="005722A3"/>
    <w:rsid w:val="0057256F"/>
    <w:rsid w:val="00572E97"/>
    <w:rsid w:val="005733FB"/>
    <w:rsid w:val="00575B4B"/>
    <w:rsid w:val="0057600B"/>
    <w:rsid w:val="00577030"/>
    <w:rsid w:val="005775C4"/>
    <w:rsid w:val="00577D84"/>
    <w:rsid w:val="00580230"/>
    <w:rsid w:val="00581B3A"/>
    <w:rsid w:val="00584882"/>
    <w:rsid w:val="005858F9"/>
    <w:rsid w:val="00585FA7"/>
    <w:rsid w:val="005864E1"/>
    <w:rsid w:val="005866BC"/>
    <w:rsid w:val="005868A0"/>
    <w:rsid w:val="005868F3"/>
    <w:rsid w:val="00587655"/>
    <w:rsid w:val="00587B85"/>
    <w:rsid w:val="00587F9D"/>
    <w:rsid w:val="0059175F"/>
    <w:rsid w:val="00591A5B"/>
    <w:rsid w:val="00592A59"/>
    <w:rsid w:val="0059313B"/>
    <w:rsid w:val="00593A7F"/>
    <w:rsid w:val="00593AD7"/>
    <w:rsid w:val="005959FD"/>
    <w:rsid w:val="00595B46"/>
    <w:rsid w:val="00595DC4"/>
    <w:rsid w:val="00595F7D"/>
    <w:rsid w:val="00597214"/>
    <w:rsid w:val="00597C99"/>
    <w:rsid w:val="005A1326"/>
    <w:rsid w:val="005A1AE3"/>
    <w:rsid w:val="005A1C7D"/>
    <w:rsid w:val="005A1E4C"/>
    <w:rsid w:val="005A1E55"/>
    <w:rsid w:val="005A20DE"/>
    <w:rsid w:val="005A232F"/>
    <w:rsid w:val="005A2730"/>
    <w:rsid w:val="005A2B9F"/>
    <w:rsid w:val="005A31E1"/>
    <w:rsid w:val="005A38D5"/>
    <w:rsid w:val="005A415A"/>
    <w:rsid w:val="005A42EA"/>
    <w:rsid w:val="005A48FE"/>
    <w:rsid w:val="005A4B85"/>
    <w:rsid w:val="005A6720"/>
    <w:rsid w:val="005A7399"/>
    <w:rsid w:val="005B0170"/>
    <w:rsid w:val="005B24E4"/>
    <w:rsid w:val="005B2A02"/>
    <w:rsid w:val="005B3788"/>
    <w:rsid w:val="005B3F86"/>
    <w:rsid w:val="005B4A8E"/>
    <w:rsid w:val="005B5FD4"/>
    <w:rsid w:val="005B6960"/>
    <w:rsid w:val="005B6FE4"/>
    <w:rsid w:val="005B7A5B"/>
    <w:rsid w:val="005C0A03"/>
    <w:rsid w:val="005C2FDB"/>
    <w:rsid w:val="005C33ED"/>
    <w:rsid w:val="005C3B9B"/>
    <w:rsid w:val="005C4A94"/>
    <w:rsid w:val="005C4B8C"/>
    <w:rsid w:val="005C4C1B"/>
    <w:rsid w:val="005C5FDF"/>
    <w:rsid w:val="005C674E"/>
    <w:rsid w:val="005C69D0"/>
    <w:rsid w:val="005C6A06"/>
    <w:rsid w:val="005C7AFC"/>
    <w:rsid w:val="005C7FD9"/>
    <w:rsid w:val="005D047B"/>
    <w:rsid w:val="005D0565"/>
    <w:rsid w:val="005D121C"/>
    <w:rsid w:val="005D1598"/>
    <w:rsid w:val="005D19D3"/>
    <w:rsid w:val="005D217F"/>
    <w:rsid w:val="005D35D0"/>
    <w:rsid w:val="005D35FE"/>
    <w:rsid w:val="005D459A"/>
    <w:rsid w:val="005D52DD"/>
    <w:rsid w:val="005D5E1F"/>
    <w:rsid w:val="005D5E5D"/>
    <w:rsid w:val="005D7688"/>
    <w:rsid w:val="005D7728"/>
    <w:rsid w:val="005E16AC"/>
    <w:rsid w:val="005E1C45"/>
    <w:rsid w:val="005E202E"/>
    <w:rsid w:val="005E2143"/>
    <w:rsid w:val="005E2A30"/>
    <w:rsid w:val="005E3B51"/>
    <w:rsid w:val="005E3E71"/>
    <w:rsid w:val="005E44CD"/>
    <w:rsid w:val="005E50A1"/>
    <w:rsid w:val="005E547E"/>
    <w:rsid w:val="005E559D"/>
    <w:rsid w:val="005E55CE"/>
    <w:rsid w:val="005E70EA"/>
    <w:rsid w:val="005F08C1"/>
    <w:rsid w:val="005F1006"/>
    <w:rsid w:val="005F1469"/>
    <w:rsid w:val="005F153D"/>
    <w:rsid w:val="005F3201"/>
    <w:rsid w:val="005F370B"/>
    <w:rsid w:val="005F4688"/>
    <w:rsid w:val="005F4D33"/>
    <w:rsid w:val="005F4F81"/>
    <w:rsid w:val="005F540D"/>
    <w:rsid w:val="005F549B"/>
    <w:rsid w:val="005F5A13"/>
    <w:rsid w:val="005F61E8"/>
    <w:rsid w:val="005F758E"/>
    <w:rsid w:val="005F75BA"/>
    <w:rsid w:val="00600C3B"/>
    <w:rsid w:val="00600DEC"/>
    <w:rsid w:val="0060298D"/>
    <w:rsid w:val="006032CB"/>
    <w:rsid w:val="00603624"/>
    <w:rsid w:val="00603B55"/>
    <w:rsid w:val="00604F34"/>
    <w:rsid w:val="006051FF"/>
    <w:rsid w:val="006056AE"/>
    <w:rsid w:val="006063F6"/>
    <w:rsid w:val="0060646C"/>
    <w:rsid w:val="00606A53"/>
    <w:rsid w:val="00607931"/>
    <w:rsid w:val="00612023"/>
    <w:rsid w:val="0061248B"/>
    <w:rsid w:val="00612C89"/>
    <w:rsid w:val="00612FC1"/>
    <w:rsid w:val="00613519"/>
    <w:rsid w:val="00613C48"/>
    <w:rsid w:val="00613F14"/>
    <w:rsid w:val="00614A47"/>
    <w:rsid w:val="0061556A"/>
    <w:rsid w:val="00615798"/>
    <w:rsid w:val="00615E3A"/>
    <w:rsid w:val="00615FF0"/>
    <w:rsid w:val="00616F79"/>
    <w:rsid w:val="0061772B"/>
    <w:rsid w:val="00620357"/>
    <w:rsid w:val="00620AEA"/>
    <w:rsid w:val="00621499"/>
    <w:rsid w:val="00623862"/>
    <w:rsid w:val="00623EE1"/>
    <w:rsid w:val="00623F9E"/>
    <w:rsid w:val="00624B0E"/>
    <w:rsid w:val="006254B4"/>
    <w:rsid w:val="00626E94"/>
    <w:rsid w:val="00627469"/>
    <w:rsid w:val="00630685"/>
    <w:rsid w:val="00630DE7"/>
    <w:rsid w:val="00631733"/>
    <w:rsid w:val="00631B64"/>
    <w:rsid w:val="0063345A"/>
    <w:rsid w:val="00633580"/>
    <w:rsid w:val="0063394E"/>
    <w:rsid w:val="00633F76"/>
    <w:rsid w:val="00634502"/>
    <w:rsid w:val="006346BB"/>
    <w:rsid w:val="00635780"/>
    <w:rsid w:val="00635A72"/>
    <w:rsid w:val="00637A7E"/>
    <w:rsid w:val="00637DD2"/>
    <w:rsid w:val="00640056"/>
    <w:rsid w:val="006403AF"/>
    <w:rsid w:val="0064050F"/>
    <w:rsid w:val="00640F8A"/>
    <w:rsid w:val="00640FD5"/>
    <w:rsid w:val="00641683"/>
    <w:rsid w:val="006422AA"/>
    <w:rsid w:val="006423DB"/>
    <w:rsid w:val="006435F4"/>
    <w:rsid w:val="006437E5"/>
    <w:rsid w:val="00643C88"/>
    <w:rsid w:val="006454BE"/>
    <w:rsid w:val="00646DA3"/>
    <w:rsid w:val="00647D78"/>
    <w:rsid w:val="006508C4"/>
    <w:rsid w:val="00650AE6"/>
    <w:rsid w:val="00651A07"/>
    <w:rsid w:val="006520D3"/>
    <w:rsid w:val="00653331"/>
    <w:rsid w:val="006537AB"/>
    <w:rsid w:val="00653B5A"/>
    <w:rsid w:val="00653C35"/>
    <w:rsid w:val="0065447C"/>
    <w:rsid w:val="00655B40"/>
    <w:rsid w:val="00655DD7"/>
    <w:rsid w:val="00656A6F"/>
    <w:rsid w:val="006573A7"/>
    <w:rsid w:val="00657697"/>
    <w:rsid w:val="00657E37"/>
    <w:rsid w:val="00662B9E"/>
    <w:rsid w:val="00663244"/>
    <w:rsid w:val="00663468"/>
    <w:rsid w:val="0066405A"/>
    <w:rsid w:val="00664C1A"/>
    <w:rsid w:val="00664CA1"/>
    <w:rsid w:val="00664D78"/>
    <w:rsid w:val="00666262"/>
    <w:rsid w:val="006663CB"/>
    <w:rsid w:val="0066641A"/>
    <w:rsid w:val="006671C2"/>
    <w:rsid w:val="0066796D"/>
    <w:rsid w:val="00667A50"/>
    <w:rsid w:val="00670452"/>
    <w:rsid w:val="00670824"/>
    <w:rsid w:val="00670895"/>
    <w:rsid w:val="006708A5"/>
    <w:rsid w:val="006713A2"/>
    <w:rsid w:val="0067178E"/>
    <w:rsid w:val="00671D09"/>
    <w:rsid w:val="00673B62"/>
    <w:rsid w:val="00673B8D"/>
    <w:rsid w:val="00673EA4"/>
    <w:rsid w:val="00674177"/>
    <w:rsid w:val="006757F9"/>
    <w:rsid w:val="00675EF5"/>
    <w:rsid w:val="00677444"/>
    <w:rsid w:val="00677E71"/>
    <w:rsid w:val="0068023D"/>
    <w:rsid w:val="00682871"/>
    <w:rsid w:val="00682A35"/>
    <w:rsid w:val="00683DBB"/>
    <w:rsid w:val="00684FD3"/>
    <w:rsid w:val="0068524D"/>
    <w:rsid w:val="0068616F"/>
    <w:rsid w:val="00686461"/>
    <w:rsid w:val="006878DF"/>
    <w:rsid w:val="00690F6B"/>
    <w:rsid w:val="006922E3"/>
    <w:rsid w:val="00692586"/>
    <w:rsid w:val="00692BD0"/>
    <w:rsid w:val="006932F5"/>
    <w:rsid w:val="006939D0"/>
    <w:rsid w:val="0069482A"/>
    <w:rsid w:val="00695341"/>
    <w:rsid w:val="006974D2"/>
    <w:rsid w:val="00697D35"/>
    <w:rsid w:val="006A0476"/>
    <w:rsid w:val="006A1029"/>
    <w:rsid w:val="006A114C"/>
    <w:rsid w:val="006A137D"/>
    <w:rsid w:val="006A13F3"/>
    <w:rsid w:val="006A55D3"/>
    <w:rsid w:val="006A5BF6"/>
    <w:rsid w:val="006A5F85"/>
    <w:rsid w:val="006B351D"/>
    <w:rsid w:val="006B3DD2"/>
    <w:rsid w:val="006B3EA2"/>
    <w:rsid w:val="006B711C"/>
    <w:rsid w:val="006B71A7"/>
    <w:rsid w:val="006C0652"/>
    <w:rsid w:val="006C0C06"/>
    <w:rsid w:val="006C0F4C"/>
    <w:rsid w:val="006C1759"/>
    <w:rsid w:val="006C1F49"/>
    <w:rsid w:val="006C28FE"/>
    <w:rsid w:val="006C4723"/>
    <w:rsid w:val="006C4E9E"/>
    <w:rsid w:val="006C539C"/>
    <w:rsid w:val="006C5415"/>
    <w:rsid w:val="006C675D"/>
    <w:rsid w:val="006C6A7B"/>
    <w:rsid w:val="006C75C4"/>
    <w:rsid w:val="006C7829"/>
    <w:rsid w:val="006D033A"/>
    <w:rsid w:val="006D1CCF"/>
    <w:rsid w:val="006D26FD"/>
    <w:rsid w:val="006D2AA5"/>
    <w:rsid w:val="006D3476"/>
    <w:rsid w:val="006D480F"/>
    <w:rsid w:val="006D4D29"/>
    <w:rsid w:val="006D57D0"/>
    <w:rsid w:val="006D5AC5"/>
    <w:rsid w:val="006D5EA2"/>
    <w:rsid w:val="006D652F"/>
    <w:rsid w:val="006D691A"/>
    <w:rsid w:val="006D73FF"/>
    <w:rsid w:val="006D7F7D"/>
    <w:rsid w:val="006E0573"/>
    <w:rsid w:val="006E16C1"/>
    <w:rsid w:val="006E1D6B"/>
    <w:rsid w:val="006E3324"/>
    <w:rsid w:val="006E4F6D"/>
    <w:rsid w:val="006E5255"/>
    <w:rsid w:val="006E5559"/>
    <w:rsid w:val="006E582A"/>
    <w:rsid w:val="006E60A1"/>
    <w:rsid w:val="006E61DF"/>
    <w:rsid w:val="006E67AF"/>
    <w:rsid w:val="006E7DDA"/>
    <w:rsid w:val="006F02C4"/>
    <w:rsid w:val="006F125E"/>
    <w:rsid w:val="006F1BA4"/>
    <w:rsid w:val="006F1C86"/>
    <w:rsid w:val="006F2240"/>
    <w:rsid w:val="006F2A62"/>
    <w:rsid w:val="006F381E"/>
    <w:rsid w:val="006F4108"/>
    <w:rsid w:val="006F456A"/>
    <w:rsid w:val="006F4DD0"/>
    <w:rsid w:val="006F5891"/>
    <w:rsid w:val="006F5BCB"/>
    <w:rsid w:val="006F6672"/>
    <w:rsid w:val="006F6AA0"/>
    <w:rsid w:val="006F6C90"/>
    <w:rsid w:val="006F6D1B"/>
    <w:rsid w:val="006F6DF6"/>
    <w:rsid w:val="006F77E2"/>
    <w:rsid w:val="006F7BED"/>
    <w:rsid w:val="007014DC"/>
    <w:rsid w:val="00702006"/>
    <w:rsid w:val="00702F02"/>
    <w:rsid w:val="00703178"/>
    <w:rsid w:val="00703B61"/>
    <w:rsid w:val="00703F2E"/>
    <w:rsid w:val="00704290"/>
    <w:rsid w:val="00704EE5"/>
    <w:rsid w:val="007053D5"/>
    <w:rsid w:val="00705E9B"/>
    <w:rsid w:val="00706211"/>
    <w:rsid w:val="00713F8C"/>
    <w:rsid w:val="00714B2D"/>
    <w:rsid w:val="00715D8E"/>
    <w:rsid w:val="00716AE6"/>
    <w:rsid w:val="007179ED"/>
    <w:rsid w:val="00720264"/>
    <w:rsid w:val="00720AEB"/>
    <w:rsid w:val="0072140D"/>
    <w:rsid w:val="00721AA2"/>
    <w:rsid w:val="007220E9"/>
    <w:rsid w:val="007226FD"/>
    <w:rsid w:val="00722E67"/>
    <w:rsid w:val="00723167"/>
    <w:rsid w:val="007237B8"/>
    <w:rsid w:val="00723912"/>
    <w:rsid w:val="00725EDC"/>
    <w:rsid w:val="00726BD0"/>
    <w:rsid w:val="00727324"/>
    <w:rsid w:val="007300EB"/>
    <w:rsid w:val="0073063A"/>
    <w:rsid w:val="00730673"/>
    <w:rsid w:val="007311AD"/>
    <w:rsid w:val="0073125A"/>
    <w:rsid w:val="00732050"/>
    <w:rsid w:val="007328C8"/>
    <w:rsid w:val="00732BC1"/>
    <w:rsid w:val="007335E9"/>
    <w:rsid w:val="0073492D"/>
    <w:rsid w:val="007361E4"/>
    <w:rsid w:val="007374E3"/>
    <w:rsid w:val="0073754E"/>
    <w:rsid w:val="0074107B"/>
    <w:rsid w:val="007411F6"/>
    <w:rsid w:val="007422D2"/>
    <w:rsid w:val="00742A66"/>
    <w:rsid w:val="00743684"/>
    <w:rsid w:val="00743A8A"/>
    <w:rsid w:val="0074452A"/>
    <w:rsid w:val="007447B7"/>
    <w:rsid w:val="00744F56"/>
    <w:rsid w:val="00745A25"/>
    <w:rsid w:val="00746731"/>
    <w:rsid w:val="007478AA"/>
    <w:rsid w:val="00750611"/>
    <w:rsid w:val="00750F25"/>
    <w:rsid w:val="00751C3F"/>
    <w:rsid w:val="007525F6"/>
    <w:rsid w:val="00752940"/>
    <w:rsid w:val="00752E90"/>
    <w:rsid w:val="00752EC2"/>
    <w:rsid w:val="00753038"/>
    <w:rsid w:val="0075322B"/>
    <w:rsid w:val="00753B7F"/>
    <w:rsid w:val="007548D1"/>
    <w:rsid w:val="00754A48"/>
    <w:rsid w:val="00754C95"/>
    <w:rsid w:val="0075634F"/>
    <w:rsid w:val="00757A0F"/>
    <w:rsid w:val="007609CE"/>
    <w:rsid w:val="00760F35"/>
    <w:rsid w:val="0076108F"/>
    <w:rsid w:val="00761179"/>
    <w:rsid w:val="007618A5"/>
    <w:rsid w:val="00762237"/>
    <w:rsid w:val="0076283A"/>
    <w:rsid w:val="00763258"/>
    <w:rsid w:val="00763AA1"/>
    <w:rsid w:val="00763E77"/>
    <w:rsid w:val="007652DA"/>
    <w:rsid w:val="00766606"/>
    <w:rsid w:val="0076684D"/>
    <w:rsid w:val="007678DF"/>
    <w:rsid w:val="00767C38"/>
    <w:rsid w:val="00770231"/>
    <w:rsid w:val="007707D7"/>
    <w:rsid w:val="00773217"/>
    <w:rsid w:val="00773639"/>
    <w:rsid w:val="00773B7B"/>
    <w:rsid w:val="00773FE6"/>
    <w:rsid w:val="007742A8"/>
    <w:rsid w:val="0077493B"/>
    <w:rsid w:val="007752F0"/>
    <w:rsid w:val="0077548C"/>
    <w:rsid w:val="00775866"/>
    <w:rsid w:val="00775D04"/>
    <w:rsid w:val="007767CC"/>
    <w:rsid w:val="0077764A"/>
    <w:rsid w:val="00777FCB"/>
    <w:rsid w:val="00780764"/>
    <w:rsid w:val="007807C5"/>
    <w:rsid w:val="0078122D"/>
    <w:rsid w:val="00782815"/>
    <w:rsid w:val="00784BBD"/>
    <w:rsid w:val="00785047"/>
    <w:rsid w:val="00786F77"/>
    <w:rsid w:val="0078734A"/>
    <w:rsid w:val="00787469"/>
    <w:rsid w:val="0078774D"/>
    <w:rsid w:val="007877AD"/>
    <w:rsid w:val="00790298"/>
    <w:rsid w:val="00790D92"/>
    <w:rsid w:val="00790FC8"/>
    <w:rsid w:val="00791DD3"/>
    <w:rsid w:val="00791FB5"/>
    <w:rsid w:val="007930FB"/>
    <w:rsid w:val="00793796"/>
    <w:rsid w:val="00795DF2"/>
    <w:rsid w:val="007967FD"/>
    <w:rsid w:val="007968E2"/>
    <w:rsid w:val="007A0372"/>
    <w:rsid w:val="007A0584"/>
    <w:rsid w:val="007A2390"/>
    <w:rsid w:val="007A3763"/>
    <w:rsid w:val="007A3D49"/>
    <w:rsid w:val="007A3EF5"/>
    <w:rsid w:val="007A4014"/>
    <w:rsid w:val="007A53F1"/>
    <w:rsid w:val="007A6DCF"/>
    <w:rsid w:val="007A7168"/>
    <w:rsid w:val="007A78E8"/>
    <w:rsid w:val="007B0CC8"/>
    <w:rsid w:val="007B1ACE"/>
    <w:rsid w:val="007B2927"/>
    <w:rsid w:val="007B45D6"/>
    <w:rsid w:val="007B5335"/>
    <w:rsid w:val="007B57C6"/>
    <w:rsid w:val="007B5B5C"/>
    <w:rsid w:val="007B5CC2"/>
    <w:rsid w:val="007B63FA"/>
    <w:rsid w:val="007B673F"/>
    <w:rsid w:val="007C04FE"/>
    <w:rsid w:val="007C0D27"/>
    <w:rsid w:val="007C12E5"/>
    <w:rsid w:val="007C1D5D"/>
    <w:rsid w:val="007C22E5"/>
    <w:rsid w:val="007C369B"/>
    <w:rsid w:val="007C380B"/>
    <w:rsid w:val="007C3C81"/>
    <w:rsid w:val="007C4EEF"/>
    <w:rsid w:val="007C5502"/>
    <w:rsid w:val="007C5508"/>
    <w:rsid w:val="007C59AD"/>
    <w:rsid w:val="007C6AE5"/>
    <w:rsid w:val="007C7D80"/>
    <w:rsid w:val="007C7F2F"/>
    <w:rsid w:val="007D02FE"/>
    <w:rsid w:val="007D13B2"/>
    <w:rsid w:val="007D1469"/>
    <w:rsid w:val="007D25C0"/>
    <w:rsid w:val="007D2F2F"/>
    <w:rsid w:val="007D4C0F"/>
    <w:rsid w:val="007D51D7"/>
    <w:rsid w:val="007D57E7"/>
    <w:rsid w:val="007D5E04"/>
    <w:rsid w:val="007D69FC"/>
    <w:rsid w:val="007D6B94"/>
    <w:rsid w:val="007D7202"/>
    <w:rsid w:val="007E1505"/>
    <w:rsid w:val="007E25F6"/>
    <w:rsid w:val="007E471C"/>
    <w:rsid w:val="007E5B03"/>
    <w:rsid w:val="007E615D"/>
    <w:rsid w:val="007E7141"/>
    <w:rsid w:val="007E790C"/>
    <w:rsid w:val="007E79AA"/>
    <w:rsid w:val="007E7ABA"/>
    <w:rsid w:val="007F0B64"/>
    <w:rsid w:val="007F1928"/>
    <w:rsid w:val="007F341A"/>
    <w:rsid w:val="007F370D"/>
    <w:rsid w:val="007F3E47"/>
    <w:rsid w:val="007F6179"/>
    <w:rsid w:val="007F62D9"/>
    <w:rsid w:val="007F6A86"/>
    <w:rsid w:val="007F6CF4"/>
    <w:rsid w:val="007F74DB"/>
    <w:rsid w:val="007F7B6D"/>
    <w:rsid w:val="008001BD"/>
    <w:rsid w:val="008024A4"/>
    <w:rsid w:val="0080283E"/>
    <w:rsid w:val="008038D6"/>
    <w:rsid w:val="00803958"/>
    <w:rsid w:val="00807967"/>
    <w:rsid w:val="00807AA2"/>
    <w:rsid w:val="00807B29"/>
    <w:rsid w:val="00810015"/>
    <w:rsid w:val="00810730"/>
    <w:rsid w:val="00810A9B"/>
    <w:rsid w:val="00810AB9"/>
    <w:rsid w:val="00811519"/>
    <w:rsid w:val="00811A38"/>
    <w:rsid w:val="0081231B"/>
    <w:rsid w:val="008124C0"/>
    <w:rsid w:val="008142C3"/>
    <w:rsid w:val="00815904"/>
    <w:rsid w:val="00815A74"/>
    <w:rsid w:val="008167F9"/>
    <w:rsid w:val="00816A12"/>
    <w:rsid w:val="00817171"/>
    <w:rsid w:val="00817B4F"/>
    <w:rsid w:val="008202E8"/>
    <w:rsid w:val="0082055A"/>
    <w:rsid w:val="00822391"/>
    <w:rsid w:val="00822D24"/>
    <w:rsid w:val="0082435F"/>
    <w:rsid w:val="008247FA"/>
    <w:rsid w:val="0082483A"/>
    <w:rsid w:val="00825D01"/>
    <w:rsid w:val="0082785B"/>
    <w:rsid w:val="00827B1D"/>
    <w:rsid w:val="00827F99"/>
    <w:rsid w:val="008300DD"/>
    <w:rsid w:val="0083060A"/>
    <w:rsid w:val="00832026"/>
    <w:rsid w:val="00832941"/>
    <w:rsid w:val="00833275"/>
    <w:rsid w:val="008347E6"/>
    <w:rsid w:val="00834A5D"/>
    <w:rsid w:val="00835218"/>
    <w:rsid w:val="00836885"/>
    <w:rsid w:val="00837F6A"/>
    <w:rsid w:val="008403AD"/>
    <w:rsid w:val="00841513"/>
    <w:rsid w:val="00841655"/>
    <w:rsid w:val="00842E43"/>
    <w:rsid w:val="00843465"/>
    <w:rsid w:val="0084351B"/>
    <w:rsid w:val="00843AC7"/>
    <w:rsid w:val="00844084"/>
    <w:rsid w:val="00844DBF"/>
    <w:rsid w:val="008451D4"/>
    <w:rsid w:val="00845DB6"/>
    <w:rsid w:val="008469D0"/>
    <w:rsid w:val="00846ED5"/>
    <w:rsid w:val="00847815"/>
    <w:rsid w:val="0084790C"/>
    <w:rsid w:val="00847CB8"/>
    <w:rsid w:val="00850828"/>
    <w:rsid w:val="00850D6A"/>
    <w:rsid w:val="0085157E"/>
    <w:rsid w:val="00851A39"/>
    <w:rsid w:val="00851CF2"/>
    <w:rsid w:val="00854033"/>
    <w:rsid w:val="00854A71"/>
    <w:rsid w:val="00855A98"/>
    <w:rsid w:val="00855CB8"/>
    <w:rsid w:val="00857159"/>
    <w:rsid w:val="0086075A"/>
    <w:rsid w:val="00863126"/>
    <w:rsid w:val="00863EDE"/>
    <w:rsid w:val="008643DA"/>
    <w:rsid w:val="00864BE5"/>
    <w:rsid w:val="00864F37"/>
    <w:rsid w:val="00865A43"/>
    <w:rsid w:val="008661A4"/>
    <w:rsid w:val="00871475"/>
    <w:rsid w:val="00871A4D"/>
    <w:rsid w:val="00872A24"/>
    <w:rsid w:val="008730F2"/>
    <w:rsid w:val="00874D53"/>
    <w:rsid w:val="00874EEC"/>
    <w:rsid w:val="008765B4"/>
    <w:rsid w:val="00876AC1"/>
    <w:rsid w:val="00877557"/>
    <w:rsid w:val="00877E02"/>
    <w:rsid w:val="008809B4"/>
    <w:rsid w:val="00880A07"/>
    <w:rsid w:val="00880D96"/>
    <w:rsid w:val="00881988"/>
    <w:rsid w:val="00881F81"/>
    <w:rsid w:val="00883270"/>
    <w:rsid w:val="00883683"/>
    <w:rsid w:val="00884F37"/>
    <w:rsid w:val="00887FDF"/>
    <w:rsid w:val="0089052A"/>
    <w:rsid w:val="00892922"/>
    <w:rsid w:val="00893158"/>
    <w:rsid w:val="00893875"/>
    <w:rsid w:val="00894D91"/>
    <w:rsid w:val="00894FB5"/>
    <w:rsid w:val="008954E4"/>
    <w:rsid w:val="008A1A00"/>
    <w:rsid w:val="008A1BE9"/>
    <w:rsid w:val="008A1F54"/>
    <w:rsid w:val="008A24AE"/>
    <w:rsid w:val="008A373A"/>
    <w:rsid w:val="008A451B"/>
    <w:rsid w:val="008A45A2"/>
    <w:rsid w:val="008A50D0"/>
    <w:rsid w:val="008A51D9"/>
    <w:rsid w:val="008A576B"/>
    <w:rsid w:val="008A5C71"/>
    <w:rsid w:val="008A5E37"/>
    <w:rsid w:val="008A5E7B"/>
    <w:rsid w:val="008A72F1"/>
    <w:rsid w:val="008A7541"/>
    <w:rsid w:val="008B1CA2"/>
    <w:rsid w:val="008B2014"/>
    <w:rsid w:val="008B2841"/>
    <w:rsid w:val="008B3F3D"/>
    <w:rsid w:val="008B596E"/>
    <w:rsid w:val="008B6AAA"/>
    <w:rsid w:val="008B7C30"/>
    <w:rsid w:val="008C0203"/>
    <w:rsid w:val="008C03C5"/>
    <w:rsid w:val="008C22D9"/>
    <w:rsid w:val="008C239B"/>
    <w:rsid w:val="008C32A8"/>
    <w:rsid w:val="008C4D44"/>
    <w:rsid w:val="008C589F"/>
    <w:rsid w:val="008C6ABF"/>
    <w:rsid w:val="008C735C"/>
    <w:rsid w:val="008C7726"/>
    <w:rsid w:val="008C788B"/>
    <w:rsid w:val="008D2C97"/>
    <w:rsid w:val="008D32C3"/>
    <w:rsid w:val="008D3BC3"/>
    <w:rsid w:val="008D46FE"/>
    <w:rsid w:val="008D6AFC"/>
    <w:rsid w:val="008E1BAA"/>
    <w:rsid w:val="008E2003"/>
    <w:rsid w:val="008E4308"/>
    <w:rsid w:val="008E5359"/>
    <w:rsid w:val="008E5BDE"/>
    <w:rsid w:val="008E6BAB"/>
    <w:rsid w:val="008E755A"/>
    <w:rsid w:val="008F0868"/>
    <w:rsid w:val="008F215E"/>
    <w:rsid w:val="008F3006"/>
    <w:rsid w:val="008F489D"/>
    <w:rsid w:val="008F524B"/>
    <w:rsid w:val="008F525C"/>
    <w:rsid w:val="008F6B81"/>
    <w:rsid w:val="008F6FD6"/>
    <w:rsid w:val="00900465"/>
    <w:rsid w:val="00902584"/>
    <w:rsid w:val="00902A7A"/>
    <w:rsid w:val="00903021"/>
    <w:rsid w:val="00903056"/>
    <w:rsid w:val="00903518"/>
    <w:rsid w:val="00903A0D"/>
    <w:rsid w:val="00903FEE"/>
    <w:rsid w:val="00905DA6"/>
    <w:rsid w:val="009068B6"/>
    <w:rsid w:val="00906F21"/>
    <w:rsid w:val="0091077A"/>
    <w:rsid w:val="009107EF"/>
    <w:rsid w:val="00911130"/>
    <w:rsid w:val="00911A00"/>
    <w:rsid w:val="00911D48"/>
    <w:rsid w:val="00912265"/>
    <w:rsid w:val="00912A06"/>
    <w:rsid w:val="00912AE2"/>
    <w:rsid w:val="00913248"/>
    <w:rsid w:val="009134FD"/>
    <w:rsid w:val="0091362C"/>
    <w:rsid w:val="009148FB"/>
    <w:rsid w:val="00915D3F"/>
    <w:rsid w:val="00916165"/>
    <w:rsid w:val="00916945"/>
    <w:rsid w:val="00916A22"/>
    <w:rsid w:val="009172CE"/>
    <w:rsid w:val="0091778B"/>
    <w:rsid w:val="009178E9"/>
    <w:rsid w:val="00917C47"/>
    <w:rsid w:val="009209AA"/>
    <w:rsid w:val="00920F90"/>
    <w:rsid w:val="009231CA"/>
    <w:rsid w:val="009234D5"/>
    <w:rsid w:val="00924BBB"/>
    <w:rsid w:val="009253CD"/>
    <w:rsid w:val="0092595B"/>
    <w:rsid w:val="0092693D"/>
    <w:rsid w:val="00927090"/>
    <w:rsid w:val="009271F2"/>
    <w:rsid w:val="0092748D"/>
    <w:rsid w:val="009274C5"/>
    <w:rsid w:val="00931030"/>
    <w:rsid w:val="009310E1"/>
    <w:rsid w:val="00931291"/>
    <w:rsid w:val="00931BB8"/>
    <w:rsid w:val="00932E78"/>
    <w:rsid w:val="00933302"/>
    <w:rsid w:val="00934104"/>
    <w:rsid w:val="0093435D"/>
    <w:rsid w:val="00935327"/>
    <w:rsid w:val="009356C8"/>
    <w:rsid w:val="00935EB5"/>
    <w:rsid w:val="0093680F"/>
    <w:rsid w:val="00936B0A"/>
    <w:rsid w:val="00937D7B"/>
    <w:rsid w:val="0094054E"/>
    <w:rsid w:val="0094108B"/>
    <w:rsid w:val="0094327D"/>
    <w:rsid w:val="009433FA"/>
    <w:rsid w:val="009434C2"/>
    <w:rsid w:val="009443F7"/>
    <w:rsid w:val="00945CD6"/>
    <w:rsid w:val="009467FA"/>
    <w:rsid w:val="00946936"/>
    <w:rsid w:val="00947274"/>
    <w:rsid w:val="0094776E"/>
    <w:rsid w:val="009503FB"/>
    <w:rsid w:val="00951D40"/>
    <w:rsid w:val="0095319B"/>
    <w:rsid w:val="00953BE2"/>
    <w:rsid w:val="00953FEB"/>
    <w:rsid w:val="009541E0"/>
    <w:rsid w:val="00954C58"/>
    <w:rsid w:val="009551CB"/>
    <w:rsid w:val="0095651B"/>
    <w:rsid w:val="00957105"/>
    <w:rsid w:val="00957176"/>
    <w:rsid w:val="009577A3"/>
    <w:rsid w:val="00960733"/>
    <w:rsid w:val="00960955"/>
    <w:rsid w:val="00960EC8"/>
    <w:rsid w:val="0096206B"/>
    <w:rsid w:val="0096266D"/>
    <w:rsid w:val="009629AD"/>
    <w:rsid w:val="00962E21"/>
    <w:rsid w:val="00963F88"/>
    <w:rsid w:val="0096441D"/>
    <w:rsid w:val="00964E5E"/>
    <w:rsid w:val="009651EA"/>
    <w:rsid w:val="00965215"/>
    <w:rsid w:val="009669F7"/>
    <w:rsid w:val="00966CEB"/>
    <w:rsid w:val="009676D5"/>
    <w:rsid w:val="009679F7"/>
    <w:rsid w:val="00970579"/>
    <w:rsid w:val="00970715"/>
    <w:rsid w:val="0097132D"/>
    <w:rsid w:val="0097147A"/>
    <w:rsid w:val="009728A8"/>
    <w:rsid w:val="00973FC4"/>
    <w:rsid w:val="009749A4"/>
    <w:rsid w:val="00974AF1"/>
    <w:rsid w:val="00975134"/>
    <w:rsid w:val="00976B71"/>
    <w:rsid w:val="00977937"/>
    <w:rsid w:val="00980689"/>
    <w:rsid w:val="00981828"/>
    <w:rsid w:val="00981FC3"/>
    <w:rsid w:val="00982127"/>
    <w:rsid w:val="0098285B"/>
    <w:rsid w:val="00982B0D"/>
    <w:rsid w:val="0098409A"/>
    <w:rsid w:val="009840C3"/>
    <w:rsid w:val="0098542E"/>
    <w:rsid w:val="009869AF"/>
    <w:rsid w:val="00986DF3"/>
    <w:rsid w:val="00986EF3"/>
    <w:rsid w:val="009871F9"/>
    <w:rsid w:val="0098739A"/>
    <w:rsid w:val="00987E21"/>
    <w:rsid w:val="00987FE1"/>
    <w:rsid w:val="00990167"/>
    <w:rsid w:val="009902F2"/>
    <w:rsid w:val="009908E4"/>
    <w:rsid w:val="00991373"/>
    <w:rsid w:val="00991731"/>
    <w:rsid w:val="009918A8"/>
    <w:rsid w:val="00992B73"/>
    <w:rsid w:val="00992F3C"/>
    <w:rsid w:val="0099300C"/>
    <w:rsid w:val="00993B89"/>
    <w:rsid w:val="00993E42"/>
    <w:rsid w:val="00995093"/>
    <w:rsid w:val="009954B6"/>
    <w:rsid w:val="0099560A"/>
    <w:rsid w:val="00996F6B"/>
    <w:rsid w:val="00997429"/>
    <w:rsid w:val="009A1C58"/>
    <w:rsid w:val="009A2302"/>
    <w:rsid w:val="009A2350"/>
    <w:rsid w:val="009A24CA"/>
    <w:rsid w:val="009A38D6"/>
    <w:rsid w:val="009A73F8"/>
    <w:rsid w:val="009A7507"/>
    <w:rsid w:val="009A79C6"/>
    <w:rsid w:val="009B1F1C"/>
    <w:rsid w:val="009B2553"/>
    <w:rsid w:val="009B262A"/>
    <w:rsid w:val="009B26FF"/>
    <w:rsid w:val="009B2BFD"/>
    <w:rsid w:val="009B4011"/>
    <w:rsid w:val="009B4580"/>
    <w:rsid w:val="009B4945"/>
    <w:rsid w:val="009B4F31"/>
    <w:rsid w:val="009B51F6"/>
    <w:rsid w:val="009B5A27"/>
    <w:rsid w:val="009B5E52"/>
    <w:rsid w:val="009B77AF"/>
    <w:rsid w:val="009B791B"/>
    <w:rsid w:val="009B7E28"/>
    <w:rsid w:val="009C058A"/>
    <w:rsid w:val="009C33F7"/>
    <w:rsid w:val="009C44D9"/>
    <w:rsid w:val="009C4E9B"/>
    <w:rsid w:val="009C5E28"/>
    <w:rsid w:val="009C6010"/>
    <w:rsid w:val="009C601B"/>
    <w:rsid w:val="009C626E"/>
    <w:rsid w:val="009C781C"/>
    <w:rsid w:val="009D0E19"/>
    <w:rsid w:val="009D1FA9"/>
    <w:rsid w:val="009D2F83"/>
    <w:rsid w:val="009D4662"/>
    <w:rsid w:val="009D52B7"/>
    <w:rsid w:val="009D605C"/>
    <w:rsid w:val="009D6278"/>
    <w:rsid w:val="009D6A51"/>
    <w:rsid w:val="009D7243"/>
    <w:rsid w:val="009D7276"/>
    <w:rsid w:val="009E03DD"/>
    <w:rsid w:val="009E146C"/>
    <w:rsid w:val="009E1FCB"/>
    <w:rsid w:val="009E27FF"/>
    <w:rsid w:val="009E2C42"/>
    <w:rsid w:val="009E2E8C"/>
    <w:rsid w:val="009E41D6"/>
    <w:rsid w:val="009E4F0D"/>
    <w:rsid w:val="009E4F5F"/>
    <w:rsid w:val="009E63A8"/>
    <w:rsid w:val="009E65B7"/>
    <w:rsid w:val="009E6C50"/>
    <w:rsid w:val="009F023C"/>
    <w:rsid w:val="009F08C2"/>
    <w:rsid w:val="009F0EFC"/>
    <w:rsid w:val="009F1C33"/>
    <w:rsid w:val="009F233D"/>
    <w:rsid w:val="009F261A"/>
    <w:rsid w:val="009F34CF"/>
    <w:rsid w:val="009F3868"/>
    <w:rsid w:val="009F3D55"/>
    <w:rsid w:val="009F41D1"/>
    <w:rsid w:val="009F4A2F"/>
    <w:rsid w:val="009F4DCC"/>
    <w:rsid w:val="009F4EF2"/>
    <w:rsid w:val="009F6416"/>
    <w:rsid w:val="009F6B95"/>
    <w:rsid w:val="009F6D8B"/>
    <w:rsid w:val="00A0141B"/>
    <w:rsid w:val="00A01862"/>
    <w:rsid w:val="00A041B4"/>
    <w:rsid w:val="00A05874"/>
    <w:rsid w:val="00A058F6"/>
    <w:rsid w:val="00A059A1"/>
    <w:rsid w:val="00A06146"/>
    <w:rsid w:val="00A06B36"/>
    <w:rsid w:val="00A07602"/>
    <w:rsid w:val="00A1074E"/>
    <w:rsid w:val="00A107C1"/>
    <w:rsid w:val="00A11EED"/>
    <w:rsid w:val="00A12D07"/>
    <w:rsid w:val="00A131A4"/>
    <w:rsid w:val="00A13210"/>
    <w:rsid w:val="00A1326B"/>
    <w:rsid w:val="00A13292"/>
    <w:rsid w:val="00A1470F"/>
    <w:rsid w:val="00A15096"/>
    <w:rsid w:val="00A153C1"/>
    <w:rsid w:val="00A15438"/>
    <w:rsid w:val="00A15BA1"/>
    <w:rsid w:val="00A16E82"/>
    <w:rsid w:val="00A208F7"/>
    <w:rsid w:val="00A20A53"/>
    <w:rsid w:val="00A214B7"/>
    <w:rsid w:val="00A217AD"/>
    <w:rsid w:val="00A25C09"/>
    <w:rsid w:val="00A25D01"/>
    <w:rsid w:val="00A279E1"/>
    <w:rsid w:val="00A30A75"/>
    <w:rsid w:val="00A31866"/>
    <w:rsid w:val="00A321BF"/>
    <w:rsid w:val="00A3270B"/>
    <w:rsid w:val="00A33436"/>
    <w:rsid w:val="00A33B7B"/>
    <w:rsid w:val="00A35268"/>
    <w:rsid w:val="00A353CB"/>
    <w:rsid w:val="00A35482"/>
    <w:rsid w:val="00A3552A"/>
    <w:rsid w:val="00A3552F"/>
    <w:rsid w:val="00A359B0"/>
    <w:rsid w:val="00A36D2F"/>
    <w:rsid w:val="00A412E2"/>
    <w:rsid w:val="00A41C05"/>
    <w:rsid w:val="00A41C1D"/>
    <w:rsid w:val="00A41DC5"/>
    <w:rsid w:val="00A421E6"/>
    <w:rsid w:val="00A425AC"/>
    <w:rsid w:val="00A42F29"/>
    <w:rsid w:val="00A43D20"/>
    <w:rsid w:val="00A4630D"/>
    <w:rsid w:val="00A46A0D"/>
    <w:rsid w:val="00A46BE1"/>
    <w:rsid w:val="00A47022"/>
    <w:rsid w:val="00A47820"/>
    <w:rsid w:val="00A47A16"/>
    <w:rsid w:val="00A500B1"/>
    <w:rsid w:val="00A510DB"/>
    <w:rsid w:val="00A5196C"/>
    <w:rsid w:val="00A51D2F"/>
    <w:rsid w:val="00A52A49"/>
    <w:rsid w:val="00A54892"/>
    <w:rsid w:val="00A556E8"/>
    <w:rsid w:val="00A557A4"/>
    <w:rsid w:val="00A56814"/>
    <w:rsid w:val="00A56A6A"/>
    <w:rsid w:val="00A56EC8"/>
    <w:rsid w:val="00A57E71"/>
    <w:rsid w:val="00A60D64"/>
    <w:rsid w:val="00A61D13"/>
    <w:rsid w:val="00A625B9"/>
    <w:rsid w:val="00A62BB6"/>
    <w:rsid w:val="00A6389E"/>
    <w:rsid w:val="00A64216"/>
    <w:rsid w:val="00A6473B"/>
    <w:rsid w:val="00A65A2B"/>
    <w:rsid w:val="00A665D0"/>
    <w:rsid w:val="00A674D1"/>
    <w:rsid w:val="00A67D1A"/>
    <w:rsid w:val="00A7056A"/>
    <w:rsid w:val="00A70F59"/>
    <w:rsid w:val="00A71732"/>
    <w:rsid w:val="00A71D81"/>
    <w:rsid w:val="00A72524"/>
    <w:rsid w:val="00A73745"/>
    <w:rsid w:val="00A74FEB"/>
    <w:rsid w:val="00A75127"/>
    <w:rsid w:val="00A75D68"/>
    <w:rsid w:val="00A762FD"/>
    <w:rsid w:val="00A76C7E"/>
    <w:rsid w:val="00A77166"/>
    <w:rsid w:val="00A77D83"/>
    <w:rsid w:val="00A80669"/>
    <w:rsid w:val="00A832C2"/>
    <w:rsid w:val="00A86E70"/>
    <w:rsid w:val="00A871ED"/>
    <w:rsid w:val="00A8742B"/>
    <w:rsid w:val="00A91FFB"/>
    <w:rsid w:val="00A9245E"/>
    <w:rsid w:val="00A936D8"/>
    <w:rsid w:val="00A94261"/>
    <w:rsid w:val="00A944BF"/>
    <w:rsid w:val="00A95861"/>
    <w:rsid w:val="00A965DF"/>
    <w:rsid w:val="00A96726"/>
    <w:rsid w:val="00A96C19"/>
    <w:rsid w:val="00A96EB1"/>
    <w:rsid w:val="00A97639"/>
    <w:rsid w:val="00AA086A"/>
    <w:rsid w:val="00AA1866"/>
    <w:rsid w:val="00AA1B45"/>
    <w:rsid w:val="00AA1E4C"/>
    <w:rsid w:val="00AA3ECE"/>
    <w:rsid w:val="00AA3FD8"/>
    <w:rsid w:val="00AA55C2"/>
    <w:rsid w:val="00AA6B31"/>
    <w:rsid w:val="00AA7929"/>
    <w:rsid w:val="00AB0095"/>
    <w:rsid w:val="00AB04BE"/>
    <w:rsid w:val="00AB1B64"/>
    <w:rsid w:val="00AB2123"/>
    <w:rsid w:val="00AB2205"/>
    <w:rsid w:val="00AB2B27"/>
    <w:rsid w:val="00AB32C8"/>
    <w:rsid w:val="00AB5434"/>
    <w:rsid w:val="00AB5A48"/>
    <w:rsid w:val="00AB7B95"/>
    <w:rsid w:val="00AB7F3C"/>
    <w:rsid w:val="00AC0CC7"/>
    <w:rsid w:val="00AC0DC7"/>
    <w:rsid w:val="00AC13C5"/>
    <w:rsid w:val="00AC142C"/>
    <w:rsid w:val="00AC1791"/>
    <w:rsid w:val="00AC193A"/>
    <w:rsid w:val="00AC1A37"/>
    <w:rsid w:val="00AC227C"/>
    <w:rsid w:val="00AC22AC"/>
    <w:rsid w:val="00AC2B6E"/>
    <w:rsid w:val="00AC36A1"/>
    <w:rsid w:val="00AC4162"/>
    <w:rsid w:val="00AC5B60"/>
    <w:rsid w:val="00AC5DDE"/>
    <w:rsid w:val="00AC7A5D"/>
    <w:rsid w:val="00AD0A28"/>
    <w:rsid w:val="00AD0EE9"/>
    <w:rsid w:val="00AD1548"/>
    <w:rsid w:val="00AD2AA6"/>
    <w:rsid w:val="00AD2B89"/>
    <w:rsid w:val="00AD2FA9"/>
    <w:rsid w:val="00AD3E17"/>
    <w:rsid w:val="00AD488D"/>
    <w:rsid w:val="00AD5044"/>
    <w:rsid w:val="00AD5157"/>
    <w:rsid w:val="00AD65BA"/>
    <w:rsid w:val="00AD68E5"/>
    <w:rsid w:val="00AD6BE4"/>
    <w:rsid w:val="00AD7973"/>
    <w:rsid w:val="00AE0189"/>
    <w:rsid w:val="00AE051C"/>
    <w:rsid w:val="00AE0784"/>
    <w:rsid w:val="00AE0970"/>
    <w:rsid w:val="00AE13BC"/>
    <w:rsid w:val="00AE19C9"/>
    <w:rsid w:val="00AE2132"/>
    <w:rsid w:val="00AE2358"/>
    <w:rsid w:val="00AE2528"/>
    <w:rsid w:val="00AE3BAF"/>
    <w:rsid w:val="00AE412A"/>
    <w:rsid w:val="00AE4446"/>
    <w:rsid w:val="00AE5208"/>
    <w:rsid w:val="00AE57A0"/>
    <w:rsid w:val="00AE709B"/>
    <w:rsid w:val="00AE7360"/>
    <w:rsid w:val="00AF21D8"/>
    <w:rsid w:val="00AF2EA6"/>
    <w:rsid w:val="00AF3D6E"/>
    <w:rsid w:val="00AF4583"/>
    <w:rsid w:val="00AF4A24"/>
    <w:rsid w:val="00AF5C1E"/>
    <w:rsid w:val="00AF5E3C"/>
    <w:rsid w:val="00AF626A"/>
    <w:rsid w:val="00B01F15"/>
    <w:rsid w:val="00B022DF"/>
    <w:rsid w:val="00B052FA"/>
    <w:rsid w:val="00B07B43"/>
    <w:rsid w:val="00B07D99"/>
    <w:rsid w:val="00B11CE4"/>
    <w:rsid w:val="00B11E03"/>
    <w:rsid w:val="00B12B0D"/>
    <w:rsid w:val="00B12BB6"/>
    <w:rsid w:val="00B14812"/>
    <w:rsid w:val="00B14FAF"/>
    <w:rsid w:val="00B15D6D"/>
    <w:rsid w:val="00B167D7"/>
    <w:rsid w:val="00B17251"/>
    <w:rsid w:val="00B172FE"/>
    <w:rsid w:val="00B20839"/>
    <w:rsid w:val="00B20DF6"/>
    <w:rsid w:val="00B211EC"/>
    <w:rsid w:val="00B21959"/>
    <w:rsid w:val="00B21C86"/>
    <w:rsid w:val="00B21EC5"/>
    <w:rsid w:val="00B21ECE"/>
    <w:rsid w:val="00B22C27"/>
    <w:rsid w:val="00B23405"/>
    <w:rsid w:val="00B253C7"/>
    <w:rsid w:val="00B2586F"/>
    <w:rsid w:val="00B25AE3"/>
    <w:rsid w:val="00B267F6"/>
    <w:rsid w:val="00B27E66"/>
    <w:rsid w:val="00B304C0"/>
    <w:rsid w:val="00B320FB"/>
    <w:rsid w:val="00B32668"/>
    <w:rsid w:val="00B33392"/>
    <w:rsid w:val="00B33A2F"/>
    <w:rsid w:val="00B34453"/>
    <w:rsid w:val="00B345BD"/>
    <w:rsid w:val="00B35013"/>
    <w:rsid w:val="00B353B3"/>
    <w:rsid w:val="00B361B3"/>
    <w:rsid w:val="00B36E4A"/>
    <w:rsid w:val="00B37663"/>
    <w:rsid w:val="00B37C70"/>
    <w:rsid w:val="00B400B2"/>
    <w:rsid w:val="00B4034F"/>
    <w:rsid w:val="00B4072A"/>
    <w:rsid w:val="00B41170"/>
    <w:rsid w:val="00B42055"/>
    <w:rsid w:val="00B42CC4"/>
    <w:rsid w:val="00B42F4F"/>
    <w:rsid w:val="00B430C6"/>
    <w:rsid w:val="00B44ED9"/>
    <w:rsid w:val="00B4505F"/>
    <w:rsid w:val="00B45C85"/>
    <w:rsid w:val="00B45F60"/>
    <w:rsid w:val="00B4658B"/>
    <w:rsid w:val="00B46663"/>
    <w:rsid w:val="00B46D4A"/>
    <w:rsid w:val="00B4756F"/>
    <w:rsid w:val="00B4773D"/>
    <w:rsid w:val="00B50413"/>
    <w:rsid w:val="00B5073C"/>
    <w:rsid w:val="00B51037"/>
    <w:rsid w:val="00B51A61"/>
    <w:rsid w:val="00B523D9"/>
    <w:rsid w:val="00B53F4B"/>
    <w:rsid w:val="00B542A3"/>
    <w:rsid w:val="00B544F1"/>
    <w:rsid w:val="00B54568"/>
    <w:rsid w:val="00B5501C"/>
    <w:rsid w:val="00B55DA5"/>
    <w:rsid w:val="00B5664E"/>
    <w:rsid w:val="00B56F2B"/>
    <w:rsid w:val="00B56F8E"/>
    <w:rsid w:val="00B57217"/>
    <w:rsid w:val="00B577DE"/>
    <w:rsid w:val="00B601BF"/>
    <w:rsid w:val="00B60F6F"/>
    <w:rsid w:val="00B60FF5"/>
    <w:rsid w:val="00B613FE"/>
    <w:rsid w:val="00B614CD"/>
    <w:rsid w:val="00B62E4A"/>
    <w:rsid w:val="00B62E6C"/>
    <w:rsid w:val="00B62F00"/>
    <w:rsid w:val="00B638A6"/>
    <w:rsid w:val="00B64A07"/>
    <w:rsid w:val="00B6553A"/>
    <w:rsid w:val="00B6587A"/>
    <w:rsid w:val="00B663AC"/>
    <w:rsid w:val="00B66683"/>
    <w:rsid w:val="00B6691B"/>
    <w:rsid w:val="00B66FC6"/>
    <w:rsid w:val="00B67138"/>
    <w:rsid w:val="00B67AB5"/>
    <w:rsid w:val="00B67EDC"/>
    <w:rsid w:val="00B70B2F"/>
    <w:rsid w:val="00B70D74"/>
    <w:rsid w:val="00B716C3"/>
    <w:rsid w:val="00B71F13"/>
    <w:rsid w:val="00B7274B"/>
    <w:rsid w:val="00B74EC7"/>
    <w:rsid w:val="00B76C4B"/>
    <w:rsid w:val="00B76D0A"/>
    <w:rsid w:val="00B77535"/>
    <w:rsid w:val="00B77590"/>
    <w:rsid w:val="00B77946"/>
    <w:rsid w:val="00B801AA"/>
    <w:rsid w:val="00B81F67"/>
    <w:rsid w:val="00B823AD"/>
    <w:rsid w:val="00B82F65"/>
    <w:rsid w:val="00B84854"/>
    <w:rsid w:val="00B86177"/>
    <w:rsid w:val="00B901D6"/>
    <w:rsid w:val="00B90AE6"/>
    <w:rsid w:val="00B90F1A"/>
    <w:rsid w:val="00B91AC3"/>
    <w:rsid w:val="00B9315F"/>
    <w:rsid w:val="00B934CC"/>
    <w:rsid w:val="00B93B5E"/>
    <w:rsid w:val="00B93E58"/>
    <w:rsid w:val="00B9440C"/>
    <w:rsid w:val="00B9483E"/>
    <w:rsid w:val="00B94AD4"/>
    <w:rsid w:val="00B94D0F"/>
    <w:rsid w:val="00B94EE7"/>
    <w:rsid w:val="00B950FE"/>
    <w:rsid w:val="00B95B15"/>
    <w:rsid w:val="00B97033"/>
    <w:rsid w:val="00BA0C4C"/>
    <w:rsid w:val="00BA4CF0"/>
    <w:rsid w:val="00BA4DBA"/>
    <w:rsid w:val="00BA564C"/>
    <w:rsid w:val="00BA575B"/>
    <w:rsid w:val="00BA6817"/>
    <w:rsid w:val="00BA7FD8"/>
    <w:rsid w:val="00BB05F8"/>
    <w:rsid w:val="00BB18E5"/>
    <w:rsid w:val="00BB22A6"/>
    <w:rsid w:val="00BB3401"/>
    <w:rsid w:val="00BB44D2"/>
    <w:rsid w:val="00BB599E"/>
    <w:rsid w:val="00BB6DC0"/>
    <w:rsid w:val="00BB74F7"/>
    <w:rsid w:val="00BC016C"/>
    <w:rsid w:val="00BC0632"/>
    <w:rsid w:val="00BC1603"/>
    <w:rsid w:val="00BC25D9"/>
    <w:rsid w:val="00BC2700"/>
    <w:rsid w:val="00BC2B3D"/>
    <w:rsid w:val="00BC3051"/>
    <w:rsid w:val="00BC34C8"/>
    <w:rsid w:val="00BC46A5"/>
    <w:rsid w:val="00BC4B8D"/>
    <w:rsid w:val="00BC4D45"/>
    <w:rsid w:val="00BC4DF3"/>
    <w:rsid w:val="00BC5A98"/>
    <w:rsid w:val="00BC6D03"/>
    <w:rsid w:val="00BC6D9B"/>
    <w:rsid w:val="00BC76E6"/>
    <w:rsid w:val="00BD002B"/>
    <w:rsid w:val="00BD00C4"/>
    <w:rsid w:val="00BD0147"/>
    <w:rsid w:val="00BD06CE"/>
    <w:rsid w:val="00BD197A"/>
    <w:rsid w:val="00BD2896"/>
    <w:rsid w:val="00BD4637"/>
    <w:rsid w:val="00BD4E5E"/>
    <w:rsid w:val="00BD4F6B"/>
    <w:rsid w:val="00BD6082"/>
    <w:rsid w:val="00BD6909"/>
    <w:rsid w:val="00BD6B50"/>
    <w:rsid w:val="00BD6CB4"/>
    <w:rsid w:val="00BD6FD5"/>
    <w:rsid w:val="00BD75B3"/>
    <w:rsid w:val="00BE00A1"/>
    <w:rsid w:val="00BE1496"/>
    <w:rsid w:val="00BE1FF0"/>
    <w:rsid w:val="00BE2CA7"/>
    <w:rsid w:val="00BE3AE5"/>
    <w:rsid w:val="00BE3FFF"/>
    <w:rsid w:val="00BE412A"/>
    <w:rsid w:val="00BE579B"/>
    <w:rsid w:val="00BE58D4"/>
    <w:rsid w:val="00BE5A0F"/>
    <w:rsid w:val="00BE5E6D"/>
    <w:rsid w:val="00BE6007"/>
    <w:rsid w:val="00BE6D8D"/>
    <w:rsid w:val="00BE6EF6"/>
    <w:rsid w:val="00BE6F1E"/>
    <w:rsid w:val="00BE7BBC"/>
    <w:rsid w:val="00BF0427"/>
    <w:rsid w:val="00BF06AC"/>
    <w:rsid w:val="00BF0F35"/>
    <w:rsid w:val="00BF12B9"/>
    <w:rsid w:val="00BF2426"/>
    <w:rsid w:val="00BF3E01"/>
    <w:rsid w:val="00BF510A"/>
    <w:rsid w:val="00BF5241"/>
    <w:rsid w:val="00BF6FF6"/>
    <w:rsid w:val="00BF7891"/>
    <w:rsid w:val="00BF7F05"/>
    <w:rsid w:val="00C00633"/>
    <w:rsid w:val="00C00D23"/>
    <w:rsid w:val="00C0114B"/>
    <w:rsid w:val="00C01960"/>
    <w:rsid w:val="00C01A70"/>
    <w:rsid w:val="00C01C0C"/>
    <w:rsid w:val="00C02574"/>
    <w:rsid w:val="00C02AA4"/>
    <w:rsid w:val="00C03368"/>
    <w:rsid w:val="00C03692"/>
    <w:rsid w:val="00C04635"/>
    <w:rsid w:val="00C050F4"/>
    <w:rsid w:val="00C05CEC"/>
    <w:rsid w:val="00C05D68"/>
    <w:rsid w:val="00C06805"/>
    <w:rsid w:val="00C06FF8"/>
    <w:rsid w:val="00C0768F"/>
    <w:rsid w:val="00C10757"/>
    <w:rsid w:val="00C10E7B"/>
    <w:rsid w:val="00C111B6"/>
    <w:rsid w:val="00C11DB9"/>
    <w:rsid w:val="00C122C2"/>
    <w:rsid w:val="00C1246B"/>
    <w:rsid w:val="00C1281E"/>
    <w:rsid w:val="00C13CBD"/>
    <w:rsid w:val="00C1448D"/>
    <w:rsid w:val="00C16DA1"/>
    <w:rsid w:val="00C16F62"/>
    <w:rsid w:val="00C17DED"/>
    <w:rsid w:val="00C2092B"/>
    <w:rsid w:val="00C21C23"/>
    <w:rsid w:val="00C222AB"/>
    <w:rsid w:val="00C224C6"/>
    <w:rsid w:val="00C22C75"/>
    <w:rsid w:val="00C22F1C"/>
    <w:rsid w:val="00C23381"/>
    <w:rsid w:val="00C23395"/>
    <w:rsid w:val="00C24F14"/>
    <w:rsid w:val="00C25C2D"/>
    <w:rsid w:val="00C25F92"/>
    <w:rsid w:val="00C2651E"/>
    <w:rsid w:val="00C2696A"/>
    <w:rsid w:val="00C26B50"/>
    <w:rsid w:val="00C274F5"/>
    <w:rsid w:val="00C27ADB"/>
    <w:rsid w:val="00C302B8"/>
    <w:rsid w:val="00C3058F"/>
    <w:rsid w:val="00C33D1C"/>
    <w:rsid w:val="00C34327"/>
    <w:rsid w:val="00C3434B"/>
    <w:rsid w:val="00C34529"/>
    <w:rsid w:val="00C35385"/>
    <w:rsid w:val="00C354EA"/>
    <w:rsid w:val="00C366AD"/>
    <w:rsid w:val="00C36859"/>
    <w:rsid w:val="00C37443"/>
    <w:rsid w:val="00C37619"/>
    <w:rsid w:val="00C37741"/>
    <w:rsid w:val="00C37D6D"/>
    <w:rsid w:val="00C4294F"/>
    <w:rsid w:val="00C4295A"/>
    <w:rsid w:val="00C42AC2"/>
    <w:rsid w:val="00C437B9"/>
    <w:rsid w:val="00C43818"/>
    <w:rsid w:val="00C43D9D"/>
    <w:rsid w:val="00C44472"/>
    <w:rsid w:val="00C445A4"/>
    <w:rsid w:val="00C4550F"/>
    <w:rsid w:val="00C45AE7"/>
    <w:rsid w:val="00C46324"/>
    <w:rsid w:val="00C466AC"/>
    <w:rsid w:val="00C46704"/>
    <w:rsid w:val="00C46A48"/>
    <w:rsid w:val="00C46F77"/>
    <w:rsid w:val="00C472A3"/>
    <w:rsid w:val="00C47AB2"/>
    <w:rsid w:val="00C50879"/>
    <w:rsid w:val="00C50D4F"/>
    <w:rsid w:val="00C51B71"/>
    <w:rsid w:val="00C51E18"/>
    <w:rsid w:val="00C51F0D"/>
    <w:rsid w:val="00C521E4"/>
    <w:rsid w:val="00C528CF"/>
    <w:rsid w:val="00C53624"/>
    <w:rsid w:val="00C54060"/>
    <w:rsid w:val="00C55DEA"/>
    <w:rsid w:val="00C56014"/>
    <w:rsid w:val="00C56500"/>
    <w:rsid w:val="00C56E9F"/>
    <w:rsid w:val="00C57F8B"/>
    <w:rsid w:val="00C607EE"/>
    <w:rsid w:val="00C608D4"/>
    <w:rsid w:val="00C626D9"/>
    <w:rsid w:val="00C62A50"/>
    <w:rsid w:val="00C62AC8"/>
    <w:rsid w:val="00C6531A"/>
    <w:rsid w:val="00C66442"/>
    <w:rsid w:val="00C6645E"/>
    <w:rsid w:val="00C664CC"/>
    <w:rsid w:val="00C707C0"/>
    <w:rsid w:val="00C7190B"/>
    <w:rsid w:val="00C72D48"/>
    <w:rsid w:val="00C738A4"/>
    <w:rsid w:val="00C73ECC"/>
    <w:rsid w:val="00C7412F"/>
    <w:rsid w:val="00C75624"/>
    <w:rsid w:val="00C75E5A"/>
    <w:rsid w:val="00C7653F"/>
    <w:rsid w:val="00C76C59"/>
    <w:rsid w:val="00C76CDA"/>
    <w:rsid w:val="00C77219"/>
    <w:rsid w:val="00C77B00"/>
    <w:rsid w:val="00C80647"/>
    <w:rsid w:val="00C81108"/>
    <w:rsid w:val="00C814A2"/>
    <w:rsid w:val="00C824F1"/>
    <w:rsid w:val="00C825D8"/>
    <w:rsid w:val="00C85E08"/>
    <w:rsid w:val="00C8615C"/>
    <w:rsid w:val="00C86503"/>
    <w:rsid w:val="00C86766"/>
    <w:rsid w:val="00C8767C"/>
    <w:rsid w:val="00C913CF"/>
    <w:rsid w:val="00C9141A"/>
    <w:rsid w:val="00C914FD"/>
    <w:rsid w:val="00C9195F"/>
    <w:rsid w:val="00C919DC"/>
    <w:rsid w:val="00C934DC"/>
    <w:rsid w:val="00C94217"/>
    <w:rsid w:val="00C95FA4"/>
    <w:rsid w:val="00C96DFD"/>
    <w:rsid w:val="00C974AE"/>
    <w:rsid w:val="00CA144A"/>
    <w:rsid w:val="00CA1835"/>
    <w:rsid w:val="00CA18D6"/>
    <w:rsid w:val="00CA190D"/>
    <w:rsid w:val="00CA1A23"/>
    <w:rsid w:val="00CA29B9"/>
    <w:rsid w:val="00CA3544"/>
    <w:rsid w:val="00CA3D5E"/>
    <w:rsid w:val="00CA45C6"/>
    <w:rsid w:val="00CA4673"/>
    <w:rsid w:val="00CA4EA9"/>
    <w:rsid w:val="00CA5A1B"/>
    <w:rsid w:val="00CA62AB"/>
    <w:rsid w:val="00CA7163"/>
    <w:rsid w:val="00CA746E"/>
    <w:rsid w:val="00CB0535"/>
    <w:rsid w:val="00CB10E6"/>
    <w:rsid w:val="00CB2324"/>
    <w:rsid w:val="00CB2561"/>
    <w:rsid w:val="00CB2EA1"/>
    <w:rsid w:val="00CB573F"/>
    <w:rsid w:val="00CB5D27"/>
    <w:rsid w:val="00CB5D8F"/>
    <w:rsid w:val="00CB5FA8"/>
    <w:rsid w:val="00CB627D"/>
    <w:rsid w:val="00CB6EDD"/>
    <w:rsid w:val="00CB7233"/>
    <w:rsid w:val="00CB7F0A"/>
    <w:rsid w:val="00CC04C5"/>
    <w:rsid w:val="00CC08B1"/>
    <w:rsid w:val="00CC0F60"/>
    <w:rsid w:val="00CC151B"/>
    <w:rsid w:val="00CC199C"/>
    <w:rsid w:val="00CC1ECA"/>
    <w:rsid w:val="00CC1F7E"/>
    <w:rsid w:val="00CC226C"/>
    <w:rsid w:val="00CC29CB"/>
    <w:rsid w:val="00CC307A"/>
    <w:rsid w:val="00CC3217"/>
    <w:rsid w:val="00CC37EB"/>
    <w:rsid w:val="00CC3F6F"/>
    <w:rsid w:val="00CC5767"/>
    <w:rsid w:val="00CC600A"/>
    <w:rsid w:val="00CC6222"/>
    <w:rsid w:val="00CC691E"/>
    <w:rsid w:val="00CC7075"/>
    <w:rsid w:val="00CC7B25"/>
    <w:rsid w:val="00CC7E19"/>
    <w:rsid w:val="00CD022A"/>
    <w:rsid w:val="00CD0CA8"/>
    <w:rsid w:val="00CD2108"/>
    <w:rsid w:val="00CD3418"/>
    <w:rsid w:val="00CD3562"/>
    <w:rsid w:val="00CD4333"/>
    <w:rsid w:val="00CD584B"/>
    <w:rsid w:val="00CD5BED"/>
    <w:rsid w:val="00CD5CAE"/>
    <w:rsid w:val="00CD6E0D"/>
    <w:rsid w:val="00CD7D83"/>
    <w:rsid w:val="00CE095E"/>
    <w:rsid w:val="00CE0B2A"/>
    <w:rsid w:val="00CE0F56"/>
    <w:rsid w:val="00CE2A51"/>
    <w:rsid w:val="00CE2BFE"/>
    <w:rsid w:val="00CE3761"/>
    <w:rsid w:val="00CE4A70"/>
    <w:rsid w:val="00CE4CF2"/>
    <w:rsid w:val="00CE4F42"/>
    <w:rsid w:val="00CE5412"/>
    <w:rsid w:val="00CE5F82"/>
    <w:rsid w:val="00CE7740"/>
    <w:rsid w:val="00CE78D0"/>
    <w:rsid w:val="00CE7B31"/>
    <w:rsid w:val="00CE7BBF"/>
    <w:rsid w:val="00CF0035"/>
    <w:rsid w:val="00CF0BE3"/>
    <w:rsid w:val="00CF0F34"/>
    <w:rsid w:val="00CF10AA"/>
    <w:rsid w:val="00CF348D"/>
    <w:rsid w:val="00CF3591"/>
    <w:rsid w:val="00CF5EC0"/>
    <w:rsid w:val="00CF5F12"/>
    <w:rsid w:val="00CF63DC"/>
    <w:rsid w:val="00CF6EC1"/>
    <w:rsid w:val="00CF72E1"/>
    <w:rsid w:val="00CF7AC2"/>
    <w:rsid w:val="00D009D0"/>
    <w:rsid w:val="00D02A96"/>
    <w:rsid w:val="00D0358E"/>
    <w:rsid w:val="00D03D62"/>
    <w:rsid w:val="00D04ADD"/>
    <w:rsid w:val="00D0508F"/>
    <w:rsid w:val="00D0539D"/>
    <w:rsid w:val="00D06B31"/>
    <w:rsid w:val="00D07208"/>
    <w:rsid w:val="00D07493"/>
    <w:rsid w:val="00D07A67"/>
    <w:rsid w:val="00D07E47"/>
    <w:rsid w:val="00D100C7"/>
    <w:rsid w:val="00D10425"/>
    <w:rsid w:val="00D10C47"/>
    <w:rsid w:val="00D10CF0"/>
    <w:rsid w:val="00D11CD0"/>
    <w:rsid w:val="00D120DB"/>
    <w:rsid w:val="00D1435F"/>
    <w:rsid w:val="00D14D21"/>
    <w:rsid w:val="00D1638C"/>
    <w:rsid w:val="00D17913"/>
    <w:rsid w:val="00D20F08"/>
    <w:rsid w:val="00D2172F"/>
    <w:rsid w:val="00D239C5"/>
    <w:rsid w:val="00D24C20"/>
    <w:rsid w:val="00D24F28"/>
    <w:rsid w:val="00D25365"/>
    <w:rsid w:val="00D2551F"/>
    <w:rsid w:val="00D258E3"/>
    <w:rsid w:val="00D25FC0"/>
    <w:rsid w:val="00D26858"/>
    <w:rsid w:val="00D2733F"/>
    <w:rsid w:val="00D30065"/>
    <w:rsid w:val="00D30D2A"/>
    <w:rsid w:val="00D315C2"/>
    <w:rsid w:val="00D31C74"/>
    <w:rsid w:val="00D331D5"/>
    <w:rsid w:val="00D332C1"/>
    <w:rsid w:val="00D33BF1"/>
    <w:rsid w:val="00D359DB"/>
    <w:rsid w:val="00D35B4F"/>
    <w:rsid w:val="00D35BDE"/>
    <w:rsid w:val="00D369DB"/>
    <w:rsid w:val="00D377F9"/>
    <w:rsid w:val="00D4096E"/>
    <w:rsid w:val="00D41625"/>
    <w:rsid w:val="00D428FE"/>
    <w:rsid w:val="00D42996"/>
    <w:rsid w:val="00D43BFF"/>
    <w:rsid w:val="00D43C65"/>
    <w:rsid w:val="00D4420F"/>
    <w:rsid w:val="00D44773"/>
    <w:rsid w:val="00D447A3"/>
    <w:rsid w:val="00D44F10"/>
    <w:rsid w:val="00D4608B"/>
    <w:rsid w:val="00D46B45"/>
    <w:rsid w:val="00D46C5C"/>
    <w:rsid w:val="00D46F68"/>
    <w:rsid w:val="00D47C37"/>
    <w:rsid w:val="00D50046"/>
    <w:rsid w:val="00D5019A"/>
    <w:rsid w:val="00D50566"/>
    <w:rsid w:val="00D50B34"/>
    <w:rsid w:val="00D514D7"/>
    <w:rsid w:val="00D52CCF"/>
    <w:rsid w:val="00D533D7"/>
    <w:rsid w:val="00D53470"/>
    <w:rsid w:val="00D53770"/>
    <w:rsid w:val="00D537C8"/>
    <w:rsid w:val="00D547EB"/>
    <w:rsid w:val="00D565B6"/>
    <w:rsid w:val="00D56642"/>
    <w:rsid w:val="00D572D2"/>
    <w:rsid w:val="00D6064C"/>
    <w:rsid w:val="00D6108F"/>
    <w:rsid w:val="00D63C9F"/>
    <w:rsid w:val="00D645D0"/>
    <w:rsid w:val="00D65A7C"/>
    <w:rsid w:val="00D6674D"/>
    <w:rsid w:val="00D67077"/>
    <w:rsid w:val="00D672B5"/>
    <w:rsid w:val="00D67D4D"/>
    <w:rsid w:val="00D70745"/>
    <w:rsid w:val="00D7077B"/>
    <w:rsid w:val="00D71042"/>
    <w:rsid w:val="00D72DAD"/>
    <w:rsid w:val="00D7371E"/>
    <w:rsid w:val="00D73B19"/>
    <w:rsid w:val="00D73B6C"/>
    <w:rsid w:val="00D73DF2"/>
    <w:rsid w:val="00D740E2"/>
    <w:rsid w:val="00D74116"/>
    <w:rsid w:val="00D7470A"/>
    <w:rsid w:val="00D755D0"/>
    <w:rsid w:val="00D757C6"/>
    <w:rsid w:val="00D7642D"/>
    <w:rsid w:val="00D7665E"/>
    <w:rsid w:val="00D76CE2"/>
    <w:rsid w:val="00D76D9E"/>
    <w:rsid w:val="00D76E41"/>
    <w:rsid w:val="00D77339"/>
    <w:rsid w:val="00D77C2C"/>
    <w:rsid w:val="00D84A7C"/>
    <w:rsid w:val="00D84C24"/>
    <w:rsid w:val="00D84EB4"/>
    <w:rsid w:val="00D85654"/>
    <w:rsid w:val="00D85A97"/>
    <w:rsid w:val="00D86543"/>
    <w:rsid w:val="00D87423"/>
    <w:rsid w:val="00D90529"/>
    <w:rsid w:val="00D90AD6"/>
    <w:rsid w:val="00D93037"/>
    <w:rsid w:val="00D93725"/>
    <w:rsid w:val="00D946C3"/>
    <w:rsid w:val="00D94D42"/>
    <w:rsid w:val="00D94F0C"/>
    <w:rsid w:val="00D96704"/>
    <w:rsid w:val="00D96C77"/>
    <w:rsid w:val="00D97066"/>
    <w:rsid w:val="00D97755"/>
    <w:rsid w:val="00D97D3E"/>
    <w:rsid w:val="00DA0F9A"/>
    <w:rsid w:val="00DA16E9"/>
    <w:rsid w:val="00DA1E29"/>
    <w:rsid w:val="00DA1F62"/>
    <w:rsid w:val="00DA285F"/>
    <w:rsid w:val="00DA40B7"/>
    <w:rsid w:val="00DA4286"/>
    <w:rsid w:val="00DA45E1"/>
    <w:rsid w:val="00DA4E91"/>
    <w:rsid w:val="00DA6119"/>
    <w:rsid w:val="00DA6216"/>
    <w:rsid w:val="00DA6322"/>
    <w:rsid w:val="00DA774D"/>
    <w:rsid w:val="00DB0112"/>
    <w:rsid w:val="00DB0F75"/>
    <w:rsid w:val="00DB1153"/>
    <w:rsid w:val="00DB1360"/>
    <w:rsid w:val="00DB18D9"/>
    <w:rsid w:val="00DB412C"/>
    <w:rsid w:val="00DB4582"/>
    <w:rsid w:val="00DB482C"/>
    <w:rsid w:val="00DB4B26"/>
    <w:rsid w:val="00DB4E11"/>
    <w:rsid w:val="00DB66D8"/>
    <w:rsid w:val="00DB6901"/>
    <w:rsid w:val="00DB77E3"/>
    <w:rsid w:val="00DB7D8E"/>
    <w:rsid w:val="00DC057E"/>
    <w:rsid w:val="00DC0F98"/>
    <w:rsid w:val="00DC1BCB"/>
    <w:rsid w:val="00DC265E"/>
    <w:rsid w:val="00DC2A55"/>
    <w:rsid w:val="00DC2C92"/>
    <w:rsid w:val="00DC3318"/>
    <w:rsid w:val="00DC3445"/>
    <w:rsid w:val="00DC43FA"/>
    <w:rsid w:val="00DC44D4"/>
    <w:rsid w:val="00DC483D"/>
    <w:rsid w:val="00DC5BD9"/>
    <w:rsid w:val="00DC72A3"/>
    <w:rsid w:val="00DC7C79"/>
    <w:rsid w:val="00DD0027"/>
    <w:rsid w:val="00DD03C7"/>
    <w:rsid w:val="00DD0A95"/>
    <w:rsid w:val="00DD0C64"/>
    <w:rsid w:val="00DD0D43"/>
    <w:rsid w:val="00DD2379"/>
    <w:rsid w:val="00DD2419"/>
    <w:rsid w:val="00DD3173"/>
    <w:rsid w:val="00DD35C6"/>
    <w:rsid w:val="00DD55F3"/>
    <w:rsid w:val="00DD5BDF"/>
    <w:rsid w:val="00DD5CCC"/>
    <w:rsid w:val="00DD5DB7"/>
    <w:rsid w:val="00DD61E4"/>
    <w:rsid w:val="00DD6B55"/>
    <w:rsid w:val="00DD6FF6"/>
    <w:rsid w:val="00DD7089"/>
    <w:rsid w:val="00DD7A12"/>
    <w:rsid w:val="00DE00B1"/>
    <w:rsid w:val="00DE12AC"/>
    <w:rsid w:val="00DE1885"/>
    <w:rsid w:val="00DE218E"/>
    <w:rsid w:val="00DE2F52"/>
    <w:rsid w:val="00DE4966"/>
    <w:rsid w:val="00DE50E6"/>
    <w:rsid w:val="00DE5D06"/>
    <w:rsid w:val="00DE7964"/>
    <w:rsid w:val="00DF0992"/>
    <w:rsid w:val="00DF1504"/>
    <w:rsid w:val="00DF1795"/>
    <w:rsid w:val="00DF1F02"/>
    <w:rsid w:val="00DF2028"/>
    <w:rsid w:val="00DF2DCB"/>
    <w:rsid w:val="00DF3EC3"/>
    <w:rsid w:val="00DF4632"/>
    <w:rsid w:val="00DF533B"/>
    <w:rsid w:val="00DF679C"/>
    <w:rsid w:val="00DF75D6"/>
    <w:rsid w:val="00DF77C9"/>
    <w:rsid w:val="00DF7A39"/>
    <w:rsid w:val="00E005DD"/>
    <w:rsid w:val="00E00AF8"/>
    <w:rsid w:val="00E025F4"/>
    <w:rsid w:val="00E035C5"/>
    <w:rsid w:val="00E0452A"/>
    <w:rsid w:val="00E04826"/>
    <w:rsid w:val="00E04FF8"/>
    <w:rsid w:val="00E0531B"/>
    <w:rsid w:val="00E05F70"/>
    <w:rsid w:val="00E06C33"/>
    <w:rsid w:val="00E07A14"/>
    <w:rsid w:val="00E07D17"/>
    <w:rsid w:val="00E112E6"/>
    <w:rsid w:val="00E11B68"/>
    <w:rsid w:val="00E11E50"/>
    <w:rsid w:val="00E13118"/>
    <w:rsid w:val="00E14E51"/>
    <w:rsid w:val="00E165BE"/>
    <w:rsid w:val="00E17B12"/>
    <w:rsid w:val="00E20CE9"/>
    <w:rsid w:val="00E2117B"/>
    <w:rsid w:val="00E21B35"/>
    <w:rsid w:val="00E226F8"/>
    <w:rsid w:val="00E2516D"/>
    <w:rsid w:val="00E25F75"/>
    <w:rsid w:val="00E26636"/>
    <w:rsid w:val="00E26B02"/>
    <w:rsid w:val="00E2711B"/>
    <w:rsid w:val="00E3001E"/>
    <w:rsid w:val="00E3051A"/>
    <w:rsid w:val="00E30C59"/>
    <w:rsid w:val="00E314E3"/>
    <w:rsid w:val="00E3175D"/>
    <w:rsid w:val="00E31839"/>
    <w:rsid w:val="00E31A56"/>
    <w:rsid w:val="00E31AAB"/>
    <w:rsid w:val="00E32511"/>
    <w:rsid w:val="00E33D2B"/>
    <w:rsid w:val="00E3425E"/>
    <w:rsid w:val="00E35ACA"/>
    <w:rsid w:val="00E3623A"/>
    <w:rsid w:val="00E36FEC"/>
    <w:rsid w:val="00E371E6"/>
    <w:rsid w:val="00E376AE"/>
    <w:rsid w:val="00E37BC6"/>
    <w:rsid w:val="00E40088"/>
    <w:rsid w:val="00E410FA"/>
    <w:rsid w:val="00E4165B"/>
    <w:rsid w:val="00E4239A"/>
    <w:rsid w:val="00E426CA"/>
    <w:rsid w:val="00E42C84"/>
    <w:rsid w:val="00E44069"/>
    <w:rsid w:val="00E441A4"/>
    <w:rsid w:val="00E450A5"/>
    <w:rsid w:val="00E45204"/>
    <w:rsid w:val="00E4534B"/>
    <w:rsid w:val="00E45A90"/>
    <w:rsid w:val="00E46513"/>
    <w:rsid w:val="00E47BA9"/>
    <w:rsid w:val="00E47C9C"/>
    <w:rsid w:val="00E506CD"/>
    <w:rsid w:val="00E52812"/>
    <w:rsid w:val="00E52A39"/>
    <w:rsid w:val="00E53384"/>
    <w:rsid w:val="00E53782"/>
    <w:rsid w:val="00E5475B"/>
    <w:rsid w:val="00E5512C"/>
    <w:rsid w:val="00E551DF"/>
    <w:rsid w:val="00E56032"/>
    <w:rsid w:val="00E56BE8"/>
    <w:rsid w:val="00E605AE"/>
    <w:rsid w:val="00E61812"/>
    <w:rsid w:val="00E619DC"/>
    <w:rsid w:val="00E61C10"/>
    <w:rsid w:val="00E62983"/>
    <w:rsid w:val="00E62A08"/>
    <w:rsid w:val="00E62A44"/>
    <w:rsid w:val="00E62ED2"/>
    <w:rsid w:val="00E63AA4"/>
    <w:rsid w:val="00E63D4E"/>
    <w:rsid w:val="00E642DE"/>
    <w:rsid w:val="00E64D24"/>
    <w:rsid w:val="00E65113"/>
    <w:rsid w:val="00E66498"/>
    <w:rsid w:val="00E66C47"/>
    <w:rsid w:val="00E67DBF"/>
    <w:rsid w:val="00E73AE3"/>
    <w:rsid w:val="00E76864"/>
    <w:rsid w:val="00E76A95"/>
    <w:rsid w:val="00E8197A"/>
    <w:rsid w:val="00E81FDF"/>
    <w:rsid w:val="00E82429"/>
    <w:rsid w:val="00E82471"/>
    <w:rsid w:val="00E829F9"/>
    <w:rsid w:val="00E83991"/>
    <w:rsid w:val="00E83B8D"/>
    <w:rsid w:val="00E8457B"/>
    <w:rsid w:val="00E84C7F"/>
    <w:rsid w:val="00E8676E"/>
    <w:rsid w:val="00E86FB8"/>
    <w:rsid w:val="00E8797D"/>
    <w:rsid w:val="00E87BBE"/>
    <w:rsid w:val="00E87FF9"/>
    <w:rsid w:val="00E9067D"/>
    <w:rsid w:val="00E908AC"/>
    <w:rsid w:val="00E90C26"/>
    <w:rsid w:val="00E91667"/>
    <w:rsid w:val="00E91EDE"/>
    <w:rsid w:val="00E9245B"/>
    <w:rsid w:val="00E9282A"/>
    <w:rsid w:val="00E9309C"/>
    <w:rsid w:val="00E94727"/>
    <w:rsid w:val="00E957B8"/>
    <w:rsid w:val="00E95801"/>
    <w:rsid w:val="00E96926"/>
    <w:rsid w:val="00E969F0"/>
    <w:rsid w:val="00E96B2D"/>
    <w:rsid w:val="00E97960"/>
    <w:rsid w:val="00E979E7"/>
    <w:rsid w:val="00EA1894"/>
    <w:rsid w:val="00EA1B2F"/>
    <w:rsid w:val="00EA1F58"/>
    <w:rsid w:val="00EA226F"/>
    <w:rsid w:val="00EA266F"/>
    <w:rsid w:val="00EA2AE0"/>
    <w:rsid w:val="00EA2E16"/>
    <w:rsid w:val="00EA3341"/>
    <w:rsid w:val="00EA3D9A"/>
    <w:rsid w:val="00EA3F6E"/>
    <w:rsid w:val="00EA4F42"/>
    <w:rsid w:val="00EA5473"/>
    <w:rsid w:val="00EA561E"/>
    <w:rsid w:val="00EA5718"/>
    <w:rsid w:val="00EA5BA4"/>
    <w:rsid w:val="00EA61AC"/>
    <w:rsid w:val="00EA6420"/>
    <w:rsid w:val="00EA701F"/>
    <w:rsid w:val="00EA7856"/>
    <w:rsid w:val="00EA78CE"/>
    <w:rsid w:val="00EA7A4D"/>
    <w:rsid w:val="00EB06FE"/>
    <w:rsid w:val="00EB0928"/>
    <w:rsid w:val="00EB0ECF"/>
    <w:rsid w:val="00EB257F"/>
    <w:rsid w:val="00EB26EE"/>
    <w:rsid w:val="00EB3981"/>
    <w:rsid w:val="00EB3EE3"/>
    <w:rsid w:val="00EB4153"/>
    <w:rsid w:val="00EB4F1F"/>
    <w:rsid w:val="00EB5BD1"/>
    <w:rsid w:val="00EB6429"/>
    <w:rsid w:val="00EB6F09"/>
    <w:rsid w:val="00EB7677"/>
    <w:rsid w:val="00EB7A05"/>
    <w:rsid w:val="00EC0280"/>
    <w:rsid w:val="00EC05AE"/>
    <w:rsid w:val="00EC071A"/>
    <w:rsid w:val="00EC11CE"/>
    <w:rsid w:val="00EC1212"/>
    <w:rsid w:val="00EC1FF8"/>
    <w:rsid w:val="00EC25E2"/>
    <w:rsid w:val="00EC2896"/>
    <w:rsid w:val="00EC2BD4"/>
    <w:rsid w:val="00EC34BC"/>
    <w:rsid w:val="00EC3EDA"/>
    <w:rsid w:val="00EC3F03"/>
    <w:rsid w:val="00EC47C8"/>
    <w:rsid w:val="00EC66AE"/>
    <w:rsid w:val="00EC6A5B"/>
    <w:rsid w:val="00ED0B71"/>
    <w:rsid w:val="00ED13AA"/>
    <w:rsid w:val="00ED22A0"/>
    <w:rsid w:val="00ED24AB"/>
    <w:rsid w:val="00ED3F6F"/>
    <w:rsid w:val="00ED409F"/>
    <w:rsid w:val="00ED4942"/>
    <w:rsid w:val="00ED5281"/>
    <w:rsid w:val="00ED5886"/>
    <w:rsid w:val="00EE0AAF"/>
    <w:rsid w:val="00EE219B"/>
    <w:rsid w:val="00EE2204"/>
    <w:rsid w:val="00EE2929"/>
    <w:rsid w:val="00EE2E71"/>
    <w:rsid w:val="00EE52CF"/>
    <w:rsid w:val="00EE5E30"/>
    <w:rsid w:val="00EE697B"/>
    <w:rsid w:val="00EE786D"/>
    <w:rsid w:val="00EE79C5"/>
    <w:rsid w:val="00EE7A79"/>
    <w:rsid w:val="00EE7D41"/>
    <w:rsid w:val="00EF0329"/>
    <w:rsid w:val="00EF0D4A"/>
    <w:rsid w:val="00EF0D78"/>
    <w:rsid w:val="00EF14D9"/>
    <w:rsid w:val="00EF1E4E"/>
    <w:rsid w:val="00EF1ECA"/>
    <w:rsid w:val="00EF2A68"/>
    <w:rsid w:val="00EF2FAE"/>
    <w:rsid w:val="00EF339A"/>
    <w:rsid w:val="00EF47DD"/>
    <w:rsid w:val="00EF4C5A"/>
    <w:rsid w:val="00EF7004"/>
    <w:rsid w:val="00F00516"/>
    <w:rsid w:val="00F02105"/>
    <w:rsid w:val="00F0532B"/>
    <w:rsid w:val="00F069DB"/>
    <w:rsid w:val="00F07607"/>
    <w:rsid w:val="00F07E92"/>
    <w:rsid w:val="00F11482"/>
    <w:rsid w:val="00F1228C"/>
    <w:rsid w:val="00F1303D"/>
    <w:rsid w:val="00F16B92"/>
    <w:rsid w:val="00F16E01"/>
    <w:rsid w:val="00F172B9"/>
    <w:rsid w:val="00F17673"/>
    <w:rsid w:val="00F209BF"/>
    <w:rsid w:val="00F22084"/>
    <w:rsid w:val="00F2287E"/>
    <w:rsid w:val="00F22896"/>
    <w:rsid w:val="00F22BA4"/>
    <w:rsid w:val="00F2306E"/>
    <w:rsid w:val="00F23C97"/>
    <w:rsid w:val="00F23E84"/>
    <w:rsid w:val="00F24423"/>
    <w:rsid w:val="00F24C8C"/>
    <w:rsid w:val="00F24CEA"/>
    <w:rsid w:val="00F24F40"/>
    <w:rsid w:val="00F24F50"/>
    <w:rsid w:val="00F25F4C"/>
    <w:rsid w:val="00F262F4"/>
    <w:rsid w:val="00F26C95"/>
    <w:rsid w:val="00F2719F"/>
    <w:rsid w:val="00F27383"/>
    <w:rsid w:val="00F27525"/>
    <w:rsid w:val="00F27C6C"/>
    <w:rsid w:val="00F27FE8"/>
    <w:rsid w:val="00F306C3"/>
    <w:rsid w:val="00F31012"/>
    <w:rsid w:val="00F3133D"/>
    <w:rsid w:val="00F318E8"/>
    <w:rsid w:val="00F3201D"/>
    <w:rsid w:val="00F33635"/>
    <w:rsid w:val="00F33B15"/>
    <w:rsid w:val="00F34A16"/>
    <w:rsid w:val="00F34DCC"/>
    <w:rsid w:val="00F35750"/>
    <w:rsid w:val="00F359C1"/>
    <w:rsid w:val="00F36225"/>
    <w:rsid w:val="00F40257"/>
    <w:rsid w:val="00F40C69"/>
    <w:rsid w:val="00F41118"/>
    <w:rsid w:val="00F41159"/>
    <w:rsid w:val="00F41CBB"/>
    <w:rsid w:val="00F426AD"/>
    <w:rsid w:val="00F428D7"/>
    <w:rsid w:val="00F43CF6"/>
    <w:rsid w:val="00F43FFD"/>
    <w:rsid w:val="00F441E1"/>
    <w:rsid w:val="00F45031"/>
    <w:rsid w:val="00F45098"/>
    <w:rsid w:val="00F46224"/>
    <w:rsid w:val="00F46F2B"/>
    <w:rsid w:val="00F47525"/>
    <w:rsid w:val="00F47578"/>
    <w:rsid w:val="00F47A74"/>
    <w:rsid w:val="00F50413"/>
    <w:rsid w:val="00F50F8A"/>
    <w:rsid w:val="00F5289E"/>
    <w:rsid w:val="00F54537"/>
    <w:rsid w:val="00F54934"/>
    <w:rsid w:val="00F54AD2"/>
    <w:rsid w:val="00F56E8B"/>
    <w:rsid w:val="00F572C2"/>
    <w:rsid w:val="00F601F6"/>
    <w:rsid w:val="00F60D0B"/>
    <w:rsid w:val="00F61C98"/>
    <w:rsid w:val="00F62335"/>
    <w:rsid w:val="00F6393C"/>
    <w:rsid w:val="00F63F2C"/>
    <w:rsid w:val="00F651FB"/>
    <w:rsid w:val="00F6620F"/>
    <w:rsid w:val="00F66771"/>
    <w:rsid w:val="00F675A1"/>
    <w:rsid w:val="00F67829"/>
    <w:rsid w:val="00F70314"/>
    <w:rsid w:val="00F704D0"/>
    <w:rsid w:val="00F70B31"/>
    <w:rsid w:val="00F71A0F"/>
    <w:rsid w:val="00F71D8F"/>
    <w:rsid w:val="00F736CD"/>
    <w:rsid w:val="00F748C1"/>
    <w:rsid w:val="00F74A93"/>
    <w:rsid w:val="00F757B0"/>
    <w:rsid w:val="00F760B2"/>
    <w:rsid w:val="00F7661B"/>
    <w:rsid w:val="00F76E9E"/>
    <w:rsid w:val="00F7782C"/>
    <w:rsid w:val="00F77B36"/>
    <w:rsid w:val="00F802B2"/>
    <w:rsid w:val="00F8084A"/>
    <w:rsid w:val="00F80ACC"/>
    <w:rsid w:val="00F81609"/>
    <w:rsid w:val="00F81BDA"/>
    <w:rsid w:val="00F82011"/>
    <w:rsid w:val="00F8208A"/>
    <w:rsid w:val="00F82F45"/>
    <w:rsid w:val="00F83181"/>
    <w:rsid w:val="00F838D4"/>
    <w:rsid w:val="00F8436B"/>
    <w:rsid w:val="00F85532"/>
    <w:rsid w:val="00F85DF5"/>
    <w:rsid w:val="00F86545"/>
    <w:rsid w:val="00F908C2"/>
    <w:rsid w:val="00F90A2F"/>
    <w:rsid w:val="00F90B72"/>
    <w:rsid w:val="00F90E7A"/>
    <w:rsid w:val="00F915CF"/>
    <w:rsid w:val="00F91BF1"/>
    <w:rsid w:val="00F94C09"/>
    <w:rsid w:val="00FA0002"/>
    <w:rsid w:val="00FA028C"/>
    <w:rsid w:val="00FA0329"/>
    <w:rsid w:val="00FA0594"/>
    <w:rsid w:val="00FA1E11"/>
    <w:rsid w:val="00FA2A01"/>
    <w:rsid w:val="00FA2A4E"/>
    <w:rsid w:val="00FA2C37"/>
    <w:rsid w:val="00FA34A3"/>
    <w:rsid w:val="00FA3648"/>
    <w:rsid w:val="00FA483D"/>
    <w:rsid w:val="00FA52B5"/>
    <w:rsid w:val="00FA5927"/>
    <w:rsid w:val="00FA6FDF"/>
    <w:rsid w:val="00FA7188"/>
    <w:rsid w:val="00FA7A51"/>
    <w:rsid w:val="00FB091C"/>
    <w:rsid w:val="00FB0E26"/>
    <w:rsid w:val="00FB1E06"/>
    <w:rsid w:val="00FB22F0"/>
    <w:rsid w:val="00FB290C"/>
    <w:rsid w:val="00FB2A77"/>
    <w:rsid w:val="00FB2DBB"/>
    <w:rsid w:val="00FB3108"/>
    <w:rsid w:val="00FB3144"/>
    <w:rsid w:val="00FB322C"/>
    <w:rsid w:val="00FB34E9"/>
    <w:rsid w:val="00FB3612"/>
    <w:rsid w:val="00FB3B4D"/>
    <w:rsid w:val="00FB453A"/>
    <w:rsid w:val="00FB542F"/>
    <w:rsid w:val="00FB6BC5"/>
    <w:rsid w:val="00FB7143"/>
    <w:rsid w:val="00FB7733"/>
    <w:rsid w:val="00FC14E4"/>
    <w:rsid w:val="00FC16AA"/>
    <w:rsid w:val="00FC2845"/>
    <w:rsid w:val="00FC4DFA"/>
    <w:rsid w:val="00FC639C"/>
    <w:rsid w:val="00FC65A2"/>
    <w:rsid w:val="00FC662D"/>
    <w:rsid w:val="00FC69AF"/>
    <w:rsid w:val="00FC6E72"/>
    <w:rsid w:val="00FD0426"/>
    <w:rsid w:val="00FD36B7"/>
    <w:rsid w:val="00FD3D11"/>
    <w:rsid w:val="00FD459A"/>
    <w:rsid w:val="00FD537E"/>
    <w:rsid w:val="00FD53EB"/>
    <w:rsid w:val="00FD5701"/>
    <w:rsid w:val="00FD6401"/>
    <w:rsid w:val="00FD6DC9"/>
    <w:rsid w:val="00FD7F16"/>
    <w:rsid w:val="00FE0B46"/>
    <w:rsid w:val="00FE0E55"/>
    <w:rsid w:val="00FE127F"/>
    <w:rsid w:val="00FE14AA"/>
    <w:rsid w:val="00FE2244"/>
    <w:rsid w:val="00FE2DFE"/>
    <w:rsid w:val="00FE31BA"/>
    <w:rsid w:val="00FE35AE"/>
    <w:rsid w:val="00FE3BEB"/>
    <w:rsid w:val="00FE422A"/>
    <w:rsid w:val="00FE460B"/>
    <w:rsid w:val="00FE4B5D"/>
    <w:rsid w:val="00FE4C3B"/>
    <w:rsid w:val="00FE4F34"/>
    <w:rsid w:val="00FE55B2"/>
    <w:rsid w:val="00FE5AC4"/>
    <w:rsid w:val="00FF014F"/>
    <w:rsid w:val="00FF0B85"/>
    <w:rsid w:val="00FF10F0"/>
    <w:rsid w:val="00FF117C"/>
    <w:rsid w:val="00FF12E2"/>
    <w:rsid w:val="00FF1B10"/>
    <w:rsid w:val="00FF255C"/>
    <w:rsid w:val="00FF2987"/>
    <w:rsid w:val="00FF601B"/>
    <w:rsid w:val="00FF6416"/>
    <w:rsid w:val="00FF6A6E"/>
    <w:rsid w:val="00FF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F6F"/>
    <w:pPr>
      <w:ind w:left="720"/>
      <w:contextualSpacing/>
    </w:pPr>
  </w:style>
  <w:style w:type="paragraph" w:styleId="HTMLPreformatted">
    <w:name w:val="HTML Preformatted"/>
    <w:basedOn w:val="Normal"/>
    <w:link w:val="HTMLPreformattedChar"/>
    <w:uiPriority w:val="99"/>
    <w:semiHidden/>
    <w:rsid w:val="00B60F6F"/>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B60F6F"/>
    <w:rPr>
      <w:rFonts w:ascii="Consolas" w:hAnsi="Consolas" w:cs="Times New Roman"/>
      <w:sz w:val="20"/>
      <w:szCs w:val="20"/>
    </w:rPr>
  </w:style>
  <w:style w:type="paragraph" w:styleId="FootnoteText">
    <w:name w:val="footnote text"/>
    <w:basedOn w:val="Normal"/>
    <w:link w:val="FootnoteTextChar"/>
    <w:rsid w:val="00B60F6F"/>
    <w:rPr>
      <w:sz w:val="20"/>
      <w:szCs w:val="20"/>
    </w:rPr>
  </w:style>
  <w:style w:type="character" w:customStyle="1" w:styleId="FootnoteTextChar">
    <w:name w:val="Footnote Text Char"/>
    <w:basedOn w:val="DefaultParagraphFont"/>
    <w:link w:val="FootnoteText"/>
    <w:uiPriority w:val="99"/>
    <w:locked/>
    <w:rsid w:val="00B60F6F"/>
    <w:rPr>
      <w:rFonts w:ascii="Times New Roman" w:hAnsi="Times New Roman" w:cs="Times New Roman"/>
      <w:sz w:val="20"/>
      <w:szCs w:val="20"/>
    </w:rPr>
  </w:style>
  <w:style w:type="character" w:styleId="FootnoteReference">
    <w:name w:val="footnote reference"/>
    <w:basedOn w:val="DefaultParagraphFont"/>
    <w:uiPriority w:val="99"/>
    <w:rsid w:val="00B60F6F"/>
    <w:rPr>
      <w:rFonts w:cs="Times New Roman"/>
      <w:vertAlign w:val="superscript"/>
    </w:rPr>
  </w:style>
  <w:style w:type="character" w:styleId="Hyperlink">
    <w:name w:val="Hyperlink"/>
    <w:basedOn w:val="DefaultParagraphFont"/>
    <w:uiPriority w:val="99"/>
    <w:rsid w:val="00C55DEA"/>
    <w:rPr>
      <w:rFonts w:cs="Times New Roman"/>
      <w:color w:val="0000FF"/>
      <w:u w:val="single"/>
    </w:rPr>
  </w:style>
  <w:style w:type="paragraph" w:styleId="EndnoteText">
    <w:name w:val="endnote text"/>
    <w:basedOn w:val="Normal"/>
    <w:link w:val="EndnoteTextChar"/>
    <w:rsid w:val="00E2117B"/>
    <w:rPr>
      <w:sz w:val="20"/>
      <w:szCs w:val="20"/>
    </w:rPr>
  </w:style>
  <w:style w:type="character" w:customStyle="1" w:styleId="EndnoteTextChar">
    <w:name w:val="Endnote Text Char"/>
    <w:basedOn w:val="DefaultParagraphFont"/>
    <w:link w:val="EndnoteText"/>
    <w:locked/>
    <w:rsid w:val="00E2117B"/>
    <w:rPr>
      <w:rFonts w:ascii="Times New Roman" w:hAnsi="Times New Roman" w:cs="Times New Roman"/>
      <w:sz w:val="20"/>
      <w:szCs w:val="20"/>
    </w:rPr>
  </w:style>
  <w:style w:type="character" w:styleId="EndnoteReference">
    <w:name w:val="endnote reference"/>
    <w:basedOn w:val="DefaultParagraphFont"/>
    <w:rsid w:val="00E2117B"/>
    <w:rPr>
      <w:rFonts w:cs="Times New Roman"/>
      <w:vertAlign w:val="superscript"/>
    </w:rPr>
  </w:style>
  <w:style w:type="paragraph" w:customStyle="1" w:styleId="Char1">
    <w:name w:val="Char1"/>
    <w:basedOn w:val="Normal"/>
    <w:uiPriority w:val="99"/>
    <w:semiHidden/>
    <w:rsid w:val="00E2117B"/>
    <w:pPr>
      <w:spacing w:before="80" w:after="80"/>
      <w:ind w:left="4320"/>
      <w:jc w:val="both"/>
    </w:pPr>
    <w:rPr>
      <w:rFonts w:ascii="Arial" w:hAnsi="Arial"/>
      <w:sz w:val="20"/>
    </w:rPr>
  </w:style>
  <w:style w:type="paragraph" w:styleId="BalloonText">
    <w:name w:val="Balloon Text"/>
    <w:basedOn w:val="Normal"/>
    <w:link w:val="BalloonTextChar"/>
    <w:uiPriority w:val="99"/>
    <w:semiHidden/>
    <w:rsid w:val="00CB05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0535"/>
    <w:rPr>
      <w:rFonts w:ascii="Tahoma" w:hAnsi="Tahoma" w:cs="Tahoma"/>
      <w:sz w:val="16"/>
      <w:szCs w:val="16"/>
    </w:rPr>
  </w:style>
  <w:style w:type="character" w:styleId="CommentReference">
    <w:name w:val="annotation reference"/>
    <w:basedOn w:val="DefaultParagraphFont"/>
    <w:uiPriority w:val="99"/>
    <w:semiHidden/>
    <w:rsid w:val="00CD7D83"/>
    <w:rPr>
      <w:rFonts w:cs="Times New Roman"/>
      <w:sz w:val="16"/>
      <w:szCs w:val="16"/>
    </w:rPr>
  </w:style>
  <w:style w:type="paragraph" w:styleId="CommentText">
    <w:name w:val="annotation text"/>
    <w:basedOn w:val="Normal"/>
    <w:link w:val="CommentTextChar"/>
    <w:uiPriority w:val="99"/>
    <w:rsid w:val="00CD7D83"/>
    <w:rPr>
      <w:sz w:val="20"/>
      <w:szCs w:val="20"/>
    </w:rPr>
  </w:style>
  <w:style w:type="character" w:customStyle="1" w:styleId="CommentTextChar">
    <w:name w:val="Comment Text Char"/>
    <w:basedOn w:val="DefaultParagraphFont"/>
    <w:link w:val="CommentText"/>
    <w:uiPriority w:val="99"/>
    <w:locked/>
    <w:rsid w:val="00CD7D8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D7D83"/>
    <w:rPr>
      <w:b/>
      <w:bCs/>
    </w:rPr>
  </w:style>
  <w:style w:type="character" w:customStyle="1" w:styleId="CommentSubjectChar">
    <w:name w:val="Comment Subject Char"/>
    <w:basedOn w:val="CommentTextChar"/>
    <w:link w:val="CommentSubject"/>
    <w:uiPriority w:val="99"/>
    <w:semiHidden/>
    <w:locked/>
    <w:rsid w:val="00CD7D83"/>
    <w:rPr>
      <w:rFonts w:ascii="Times New Roman" w:hAnsi="Times New Roman" w:cs="Times New Roman"/>
      <w:b/>
      <w:bCs/>
      <w:sz w:val="20"/>
      <w:szCs w:val="20"/>
    </w:rPr>
  </w:style>
  <w:style w:type="paragraph" w:styleId="Revision">
    <w:name w:val="Revision"/>
    <w:hidden/>
    <w:uiPriority w:val="99"/>
    <w:semiHidden/>
    <w:rsid w:val="00461511"/>
    <w:rPr>
      <w:rFonts w:ascii="Times New Roman" w:eastAsia="Times New Roman" w:hAnsi="Times New Roman"/>
      <w:sz w:val="24"/>
      <w:szCs w:val="24"/>
    </w:rPr>
  </w:style>
  <w:style w:type="character" w:customStyle="1" w:styleId="apple-style-span">
    <w:name w:val="apple-style-span"/>
    <w:basedOn w:val="DefaultParagraphFont"/>
    <w:uiPriority w:val="99"/>
    <w:rsid w:val="00D30D2A"/>
    <w:rPr>
      <w:rFonts w:cs="Times New Roman"/>
    </w:rPr>
  </w:style>
  <w:style w:type="character" w:customStyle="1" w:styleId="apple-converted-space">
    <w:name w:val="apple-converted-space"/>
    <w:basedOn w:val="DefaultParagraphFont"/>
    <w:uiPriority w:val="99"/>
    <w:rsid w:val="00D30D2A"/>
    <w:rPr>
      <w:rFonts w:cs="Times New Roman"/>
    </w:rPr>
  </w:style>
  <w:style w:type="paragraph" w:styleId="NormalWeb">
    <w:name w:val="Normal (Web)"/>
    <w:basedOn w:val="Normal"/>
    <w:uiPriority w:val="99"/>
    <w:rsid w:val="00D30D2A"/>
    <w:pPr>
      <w:spacing w:before="100" w:beforeAutospacing="1" w:after="100" w:afterAutospacing="1"/>
    </w:pPr>
    <w:rPr>
      <w:rFonts w:eastAsia="Calibri"/>
    </w:rPr>
  </w:style>
  <w:style w:type="paragraph" w:styleId="Header">
    <w:name w:val="header"/>
    <w:basedOn w:val="Normal"/>
    <w:link w:val="HeaderChar"/>
    <w:uiPriority w:val="99"/>
    <w:unhideWhenUsed/>
    <w:rsid w:val="00C62A50"/>
    <w:pPr>
      <w:tabs>
        <w:tab w:val="center" w:pos="4680"/>
        <w:tab w:val="right" w:pos="9360"/>
      </w:tabs>
    </w:pPr>
  </w:style>
  <w:style w:type="character" w:customStyle="1" w:styleId="HeaderChar">
    <w:name w:val="Header Char"/>
    <w:basedOn w:val="DefaultParagraphFont"/>
    <w:link w:val="Header"/>
    <w:uiPriority w:val="99"/>
    <w:rsid w:val="00C62A50"/>
    <w:rPr>
      <w:rFonts w:ascii="Times New Roman" w:eastAsia="Times New Roman" w:hAnsi="Times New Roman"/>
      <w:sz w:val="24"/>
      <w:szCs w:val="24"/>
    </w:rPr>
  </w:style>
  <w:style w:type="paragraph" w:styleId="Footer">
    <w:name w:val="footer"/>
    <w:basedOn w:val="Normal"/>
    <w:link w:val="FooterChar"/>
    <w:uiPriority w:val="99"/>
    <w:unhideWhenUsed/>
    <w:rsid w:val="00C62A50"/>
    <w:pPr>
      <w:tabs>
        <w:tab w:val="center" w:pos="4680"/>
        <w:tab w:val="right" w:pos="9360"/>
      </w:tabs>
    </w:pPr>
  </w:style>
  <w:style w:type="character" w:customStyle="1" w:styleId="FooterChar">
    <w:name w:val="Footer Char"/>
    <w:basedOn w:val="DefaultParagraphFont"/>
    <w:link w:val="Footer"/>
    <w:uiPriority w:val="99"/>
    <w:rsid w:val="00C62A50"/>
    <w:rPr>
      <w:rFonts w:ascii="Times New Roman" w:eastAsia="Times New Roman" w:hAnsi="Times New Roman"/>
      <w:sz w:val="24"/>
      <w:szCs w:val="24"/>
    </w:rPr>
  </w:style>
  <w:style w:type="paragraph" w:customStyle="1" w:styleId="Char">
    <w:name w:val="Char"/>
    <w:basedOn w:val="Normal"/>
    <w:semiHidden/>
    <w:rsid w:val="005733FB"/>
    <w:pPr>
      <w:spacing w:before="80" w:after="80"/>
      <w:ind w:left="4320"/>
      <w:jc w:val="both"/>
    </w:pPr>
    <w:rPr>
      <w:rFonts w:ascii="Arial" w:hAnsi="Arial"/>
      <w:sz w:val="20"/>
    </w:rPr>
  </w:style>
  <w:style w:type="paragraph" w:customStyle="1" w:styleId="Default">
    <w:name w:val="Default"/>
    <w:rsid w:val="005733FB"/>
    <w:pPr>
      <w:autoSpaceDE w:val="0"/>
      <w:autoSpaceDN w:val="0"/>
      <w:adjustRightInd w:val="0"/>
    </w:pPr>
    <w:rPr>
      <w:rFonts w:ascii="Times New Roman" w:eastAsia="Times New Roman" w:hAnsi="Times New Roman"/>
      <w:color w:val="000000"/>
      <w:sz w:val="24"/>
      <w:szCs w:val="24"/>
    </w:rPr>
  </w:style>
  <w:style w:type="paragraph" w:customStyle="1" w:styleId="Endnote">
    <w:name w:val="Endnote"/>
    <w:basedOn w:val="EndnoteText"/>
    <w:rsid w:val="005733FB"/>
    <w:pPr>
      <w:ind w:firstLine="720"/>
    </w:pPr>
  </w:style>
  <w:style w:type="table" w:styleId="TableGrid">
    <w:name w:val="Table Grid"/>
    <w:basedOn w:val="TableNormal"/>
    <w:locked/>
    <w:rsid w:val="003D0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905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F6F"/>
    <w:pPr>
      <w:ind w:left="720"/>
      <w:contextualSpacing/>
    </w:pPr>
  </w:style>
  <w:style w:type="paragraph" w:styleId="HTMLPreformatted">
    <w:name w:val="HTML Preformatted"/>
    <w:basedOn w:val="Normal"/>
    <w:link w:val="HTMLPreformattedChar"/>
    <w:uiPriority w:val="99"/>
    <w:semiHidden/>
    <w:rsid w:val="00B60F6F"/>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B60F6F"/>
    <w:rPr>
      <w:rFonts w:ascii="Consolas" w:hAnsi="Consolas" w:cs="Times New Roman"/>
      <w:sz w:val="20"/>
      <w:szCs w:val="20"/>
    </w:rPr>
  </w:style>
  <w:style w:type="paragraph" w:styleId="FootnoteText">
    <w:name w:val="footnote text"/>
    <w:basedOn w:val="Normal"/>
    <w:link w:val="FootnoteTextChar"/>
    <w:rsid w:val="00B60F6F"/>
    <w:rPr>
      <w:sz w:val="20"/>
      <w:szCs w:val="20"/>
    </w:rPr>
  </w:style>
  <w:style w:type="character" w:customStyle="1" w:styleId="FootnoteTextChar">
    <w:name w:val="Footnote Text Char"/>
    <w:basedOn w:val="DefaultParagraphFont"/>
    <w:link w:val="FootnoteText"/>
    <w:uiPriority w:val="99"/>
    <w:locked/>
    <w:rsid w:val="00B60F6F"/>
    <w:rPr>
      <w:rFonts w:ascii="Times New Roman" w:hAnsi="Times New Roman" w:cs="Times New Roman"/>
      <w:sz w:val="20"/>
      <w:szCs w:val="20"/>
    </w:rPr>
  </w:style>
  <w:style w:type="character" w:styleId="FootnoteReference">
    <w:name w:val="footnote reference"/>
    <w:basedOn w:val="DefaultParagraphFont"/>
    <w:uiPriority w:val="99"/>
    <w:rsid w:val="00B60F6F"/>
    <w:rPr>
      <w:rFonts w:cs="Times New Roman"/>
      <w:vertAlign w:val="superscript"/>
    </w:rPr>
  </w:style>
  <w:style w:type="character" w:styleId="Hyperlink">
    <w:name w:val="Hyperlink"/>
    <w:basedOn w:val="DefaultParagraphFont"/>
    <w:uiPriority w:val="99"/>
    <w:rsid w:val="00C55DEA"/>
    <w:rPr>
      <w:rFonts w:cs="Times New Roman"/>
      <w:color w:val="0000FF"/>
      <w:u w:val="single"/>
    </w:rPr>
  </w:style>
  <w:style w:type="paragraph" w:styleId="EndnoteText">
    <w:name w:val="endnote text"/>
    <w:basedOn w:val="Normal"/>
    <w:link w:val="EndnoteTextChar"/>
    <w:rsid w:val="00E2117B"/>
    <w:rPr>
      <w:sz w:val="20"/>
      <w:szCs w:val="20"/>
    </w:rPr>
  </w:style>
  <w:style w:type="character" w:customStyle="1" w:styleId="EndnoteTextChar">
    <w:name w:val="Endnote Text Char"/>
    <w:basedOn w:val="DefaultParagraphFont"/>
    <w:link w:val="EndnoteText"/>
    <w:locked/>
    <w:rsid w:val="00E2117B"/>
    <w:rPr>
      <w:rFonts w:ascii="Times New Roman" w:hAnsi="Times New Roman" w:cs="Times New Roman"/>
      <w:sz w:val="20"/>
      <w:szCs w:val="20"/>
    </w:rPr>
  </w:style>
  <w:style w:type="character" w:styleId="EndnoteReference">
    <w:name w:val="endnote reference"/>
    <w:basedOn w:val="DefaultParagraphFont"/>
    <w:rsid w:val="00E2117B"/>
    <w:rPr>
      <w:rFonts w:cs="Times New Roman"/>
      <w:vertAlign w:val="superscript"/>
    </w:rPr>
  </w:style>
  <w:style w:type="paragraph" w:customStyle="1" w:styleId="Char1">
    <w:name w:val="Char1"/>
    <w:basedOn w:val="Normal"/>
    <w:uiPriority w:val="99"/>
    <w:semiHidden/>
    <w:rsid w:val="00E2117B"/>
    <w:pPr>
      <w:spacing w:before="80" w:after="80"/>
      <w:ind w:left="4320"/>
      <w:jc w:val="both"/>
    </w:pPr>
    <w:rPr>
      <w:rFonts w:ascii="Arial" w:hAnsi="Arial"/>
      <w:sz w:val="20"/>
    </w:rPr>
  </w:style>
  <w:style w:type="paragraph" w:styleId="BalloonText">
    <w:name w:val="Balloon Text"/>
    <w:basedOn w:val="Normal"/>
    <w:link w:val="BalloonTextChar"/>
    <w:uiPriority w:val="99"/>
    <w:semiHidden/>
    <w:rsid w:val="00CB05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0535"/>
    <w:rPr>
      <w:rFonts w:ascii="Tahoma" w:hAnsi="Tahoma" w:cs="Tahoma"/>
      <w:sz w:val="16"/>
      <w:szCs w:val="16"/>
    </w:rPr>
  </w:style>
  <w:style w:type="character" w:styleId="CommentReference">
    <w:name w:val="annotation reference"/>
    <w:basedOn w:val="DefaultParagraphFont"/>
    <w:uiPriority w:val="99"/>
    <w:semiHidden/>
    <w:rsid w:val="00CD7D83"/>
    <w:rPr>
      <w:rFonts w:cs="Times New Roman"/>
      <w:sz w:val="16"/>
      <w:szCs w:val="16"/>
    </w:rPr>
  </w:style>
  <w:style w:type="paragraph" w:styleId="CommentText">
    <w:name w:val="annotation text"/>
    <w:basedOn w:val="Normal"/>
    <w:link w:val="CommentTextChar"/>
    <w:uiPriority w:val="99"/>
    <w:rsid w:val="00CD7D83"/>
    <w:rPr>
      <w:sz w:val="20"/>
      <w:szCs w:val="20"/>
    </w:rPr>
  </w:style>
  <w:style w:type="character" w:customStyle="1" w:styleId="CommentTextChar">
    <w:name w:val="Comment Text Char"/>
    <w:basedOn w:val="DefaultParagraphFont"/>
    <w:link w:val="CommentText"/>
    <w:uiPriority w:val="99"/>
    <w:locked/>
    <w:rsid w:val="00CD7D8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D7D83"/>
    <w:rPr>
      <w:b/>
      <w:bCs/>
    </w:rPr>
  </w:style>
  <w:style w:type="character" w:customStyle="1" w:styleId="CommentSubjectChar">
    <w:name w:val="Comment Subject Char"/>
    <w:basedOn w:val="CommentTextChar"/>
    <w:link w:val="CommentSubject"/>
    <w:uiPriority w:val="99"/>
    <w:semiHidden/>
    <w:locked/>
    <w:rsid w:val="00CD7D83"/>
    <w:rPr>
      <w:rFonts w:ascii="Times New Roman" w:hAnsi="Times New Roman" w:cs="Times New Roman"/>
      <w:b/>
      <w:bCs/>
      <w:sz w:val="20"/>
      <w:szCs w:val="20"/>
    </w:rPr>
  </w:style>
  <w:style w:type="paragraph" w:styleId="Revision">
    <w:name w:val="Revision"/>
    <w:hidden/>
    <w:uiPriority w:val="99"/>
    <w:semiHidden/>
    <w:rsid w:val="00461511"/>
    <w:rPr>
      <w:rFonts w:ascii="Times New Roman" w:eastAsia="Times New Roman" w:hAnsi="Times New Roman"/>
      <w:sz w:val="24"/>
      <w:szCs w:val="24"/>
    </w:rPr>
  </w:style>
  <w:style w:type="character" w:customStyle="1" w:styleId="apple-style-span">
    <w:name w:val="apple-style-span"/>
    <w:basedOn w:val="DefaultParagraphFont"/>
    <w:uiPriority w:val="99"/>
    <w:rsid w:val="00D30D2A"/>
    <w:rPr>
      <w:rFonts w:cs="Times New Roman"/>
    </w:rPr>
  </w:style>
  <w:style w:type="character" w:customStyle="1" w:styleId="apple-converted-space">
    <w:name w:val="apple-converted-space"/>
    <w:basedOn w:val="DefaultParagraphFont"/>
    <w:uiPriority w:val="99"/>
    <w:rsid w:val="00D30D2A"/>
    <w:rPr>
      <w:rFonts w:cs="Times New Roman"/>
    </w:rPr>
  </w:style>
  <w:style w:type="paragraph" w:styleId="NormalWeb">
    <w:name w:val="Normal (Web)"/>
    <w:basedOn w:val="Normal"/>
    <w:uiPriority w:val="99"/>
    <w:rsid w:val="00D30D2A"/>
    <w:pPr>
      <w:spacing w:before="100" w:beforeAutospacing="1" w:after="100" w:afterAutospacing="1"/>
    </w:pPr>
    <w:rPr>
      <w:rFonts w:eastAsia="Calibri"/>
    </w:rPr>
  </w:style>
  <w:style w:type="paragraph" w:styleId="Header">
    <w:name w:val="header"/>
    <w:basedOn w:val="Normal"/>
    <w:link w:val="HeaderChar"/>
    <w:uiPriority w:val="99"/>
    <w:unhideWhenUsed/>
    <w:rsid w:val="00C62A50"/>
    <w:pPr>
      <w:tabs>
        <w:tab w:val="center" w:pos="4680"/>
        <w:tab w:val="right" w:pos="9360"/>
      </w:tabs>
    </w:pPr>
  </w:style>
  <w:style w:type="character" w:customStyle="1" w:styleId="HeaderChar">
    <w:name w:val="Header Char"/>
    <w:basedOn w:val="DefaultParagraphFont"/>
    <w:link w:val="Header"/>
    <w:uiPriority w:val="99"/>
    <w:rsid w:val="00C62A50"/>
    <w:rPr>
      <w:rFonts w:ascii="Times New Roman" w:eastAsia="Times New Roman" w:hAnsi="Times New Roman"/>
      <w:sz w:val="24"/>
      <w:szCs w:val="24"/>
    </w:rPr>
  </w:style>
  <w:style w:type="paragraph" w:styleId="Footer">
    <w:name w:val="footer"/>
    <w:basedOn w:val="Normal"/>
    <w:link w:val="FooterChar"/>
    <w:uiPriority w:val="99"/>
    <w:unhideWhenUsed/>
    <w:rsid w:val="00C62A50"/>
    <w:pPr>
      <w:tabs>
        <w:tab w:val="center" w:pos="4680"/>
        <w:tab w:val="right" w:pos="9360"/>
      </w:tabs>
    </w:pPr>
  </w:style>
  <w:style w:type="character" w:customStyle="1" w:styleId="FooterChar">
    <w:name w:val="Footer Char"/>
    <w:basedOn w:val="DefaultParagraphFont"/>
    <w:link w:val="Footer"/>
    <w:uiPriority w:val="99"/>
    <w:rsid w:val="00C62A50"/>
    <w:rPr>
      <w:rFonts w:ascii="Times New Roman" w:eastAsia="Times New Roman" w:hAnsi="Times New Roman"/>
      <w:sz w:val="24"/>
      <w:szCs w:val="24"/>
    </w:rPr>
  </w:style>
  <w:style w:type="paragraph" w:customStyle="1" w:styleId="Char">
    <w:name w:val="Char"/>
    <w:basedOn w:val="Normal"/>
    <w:semiHidden/>
    <w:rsid w:val="005733FB"/>
    <w:pPr>
      <w:spacing w:before="80" w:after="80"/>
      <w:ind w:left="4320"/>
      <w:jc w:val="both"/>
    </w:pPr>
    <w:rPr>
      <w:rFonts w:ascii="Arial" w:hAnsi="Arial"/>
      <w:sz w:val="20"/>
    </w:rPr>
  </w:style>
  <w:style w:type="paragraph" w:customStyle="1" w:styleId="Default">
    <w:name w:val="Default"/>
    <w:rsid w:val="005733FB"/>
    <w:pPr>
      <w:autoSpaceDE w:val="0"/>
      <w:autoSpaceDN w:val="0"/>
      <w:adjustRightInd w:val="0"/>
    </w:pPr>
    <w:rPr>
      <w:rFonts w:ascii="Times New Roman" w:eastAsia="Times New Roman" w:hAnsi="Times New Roman"/>
      <w:color w:val="000000"/>
      <w:sz w:val="24"/>
      <w:szCs w:val="24"/>
    </w:rPr>
  </w:style>
  <w:style w:type="paragraph" w:customStyle="1" w:styleId="Endnote">
    <w:name w:val="Endnote"/>
    <w:basedOn w:val="EndnoteText"/>
    <w:rsid w:val="005733FB"/>
    <w:pPr>
      <w:ind w:firstLine="720"/>
    </w:pPr>
  </w:style>
  <w:style w:type="table" w:styleId="TableGrid">
    <w:name w:val="Table Grid"/>
    <w:basedOn w:val="TableNormal"/>
    <w:locked/>
    <w:rsid w:val="003D0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905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2641">
      <w:marLeft w:val="0"/>
      <w:marRight w:val="0"/>
      <w:marTop w:val="0"/>
      <w:marBottom w:val="0"/>
      <w:divBdr>
        <w:top w:val="none" w:sz="0" w:space="0" w:color="auto"/>
        <w:left w:val="none" w:sz="0" w:space="0" w:color="auto"/>
        <w:bottom w:val="none" w:sz="0" w:space="0" w:color="auto"/>
        <w:right w:val="none" w:sz="0" w:space="0" w:color="auto"/>
      </w:divBdr>
      <w:divsChild>
        <w:div w:id="284502652">
          <w:marLeft w:val="0"/>
          <w:marRight w:val="0"/>
          <w:marTop w:val="0"/>
          <w:marBottom w:val="0"/>
          <w:divBdr>
            <w:top w:val="none" w:sz="0" w:space="0" w:color="auto"/>
            <w:left w:val="none" w:sz="0" w:space="0" w:color="auto"/>
            <w:bottom w:val="none" w:sz="0" w:space="0" w:color="auto"/>
            <w:right w:val="none" w:sz="0" w:space="0" w:color="auto"/>
          </w:divBdr>
          <w:divsChild>
            <w:div w:id="284502639">
              <w:marLeft w:val="0"/>
              <w:marRight w:val="0"/>
              <w:marTop w:val="0"/>
              <w:marBottom w:val="0"/>
              <w:divBdr>
                <w:top w:val="none" w:sz="0" w:space="0" w:color="auto"/>
                <w:left w:val="none" w:sz="0" w:space="0" w:color="auto"/>
                <w:bottom w:val="none" w:sz="0" w:space="0" w:color="auto"/>
                <w:right w:val="none" w:sz="0" w:space="0" w:color="auto"/>
              </w:divBdr>
              <w:divsChild>
                <w:div w:id="284502645">
                  <w:marLeft w:val="0"/>
                  <w:marRight w:val="0"/>
                  <w:marTop w:val="0"/>
                  <w:marBottom w:val="0"/>
                  <w:divBdr>
                    <w:top w:val="none" w:sz="0" w:space="0" w:color="auto"/>
                    <w:left w:val="none" w:sz="0" w:space="0" w:color="auto"/>
                    <w:bottom w:val="none" w:sz="0" w:space="0" w:color="auto"/>
                    <w:right w:val="none" w:sz="0" w:space="0" w:color="auto"/>
                  </w:divBdr>
                  <w:divsChild>
                    <w:div w:id="284502647">
                      <w:marLeft w:val="0"/>
                      <w:marRight w:val="0"/>
                      <w:marTop w:val="0"/>
                      <w:marBottom w:val="0"/>
                      <w:divBdr>
                        <w:top w:val="none" w:sz="0" w:space="0" w:color="auto"/>
                        <w:left w:val="none" w:sz="0" w:space="0" w:color="auto"/>
                        <w:bottom w:val="none" w:sz="0" w:space="0" w:color="auto"/>
                        <w:right w:val="none" w:sz="0" w:space="0" w:color="auto"/>
                      </w:divBdr>
                      <w:divsChild>
                        <w:div w:id="284502656">
                          <w:marLeft w:val="0"/>
                          <w:marRight w:val="0"/>
                          <w:marTop w:val="0"/>
                          <w:marBottom w:val="0"/>
                          <w:divBdr>
                            <w:top w:val="none" w:sz="0" w:space="0" w:color="auto"/>
                            <w:left w:val="none" w:sz="0" w:space="0" w:color="auto"/>
                            <w:bottom w:val="none" w:sz="0" w:space="0" w:color="auto"/>
                            <w:right w:val="none" w:sz="0" w:space="0" w:color="auto"/>
                          </w:divBdr>
                          <w:divsChild>
                            <w:div w:id="284502648">
                              <w:marLeft w:val="0"/>
                              <w:marRight w:val="0"/>
                              <w:marTop w:val="0"/>
                              <w:marBottom w:val="0"/>
                              <w:divBdr>
                                <w:top w:val="none" w:sz="0" w:space="0" w:color="auto"/>
                                <w:left w:val="none" w:sz="0" w:space="0" w:color="auto"/>
                                <w:bottom w:val="none" w:sz="0" w:space="0" w:color="auto"/>
                                <w:right w:val="none" w:sz="0" w:space="0" w:color="auto"/>
                              </w:divBdr>
                              <w:divsChild>
                                <w:div w:id="2845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2649">
      <w:marLeft w:val="0"/>
      <w:marRight w:val="0"/>
      <w:marTop w:val="0"/>
      <w:marBottom w:val="0"/>
      <w:divBdr>
        <w:top w:val="none" w:sz="0" w:space="0" w:color="auto"/>
        <w:left w:val="none" w:sz="0" w:space="0" w:color="auto"/>
        <w:bottom w:val="none" w:sz="0" w:space="0" w:color="auto"/>
        <w:right w:val="none" w:sz="0" w:space="0" w:color="auto"/>
      </w:divBdr>
      <w:divsChild>
        <w:div w:id="284502654">
          <w:marLeft w:val="547"/>
          <w:marRight w:val="0"/>
          <w:marTop w:val="115"/>
          <w:marBottom w:val="0"/>
          <w:divBdr>
            <w:top w:val="none" w:sz="0" w:space="0" w:color="auto"/>
            <w:left w:val="none" w:sz="0" w:space="0" w:color="auto"/>
            <w:bottom w:val="none" w:sz="0" w:space="0" w:color="auto"/>
            <w:right w:val="none" w:sz="0" w:space="0" w:color="auto"/>
          </w:divBdr>
        </w:div>
      </w:divsChild>
    </w:div>
    <w:div w:id="284502653">
      <w:marLeft w:val="0"/>
      <w:marRight w:val="0"/>
      <w:marTop w:val="0"/>
      <w:marBottom w:val="0"/>
      <w:divBdr>
        <w:top w:val="none" w:sz="0" w:space="0" w:color="auto"/>
        <w:left w:val="none" w:sz="0" w:space="0" w:color="auto"/>
        <w:bottom w:val="none" w:sz="0" w:space="0" w:color="auto"/>
        <w:right w:val="none" w:sz="0" w:space="0" w:color="auto"/>
      </w:divBdr>
      <w:divsChild>
        <w:div w:id="284502644">
          <w:marLeft w:val="0"/>
          <w:marRight w:val="0"/>
          <w:marTop w:val="0"/>
          <w:marBottom w:val="0"/>
          <w:divBdr>
            <w:top w:val="none" w:sz="0" w:space="0" w:color="auto"/>
            <w:left w:val="none" w:sz="0" w:space="0" w:color="auto"/>
            <w:bottom w:val="none" w:sz="0" w:space="0" w:color="auto"/>
            <w:right w:val="none" w:sz="0" w:space="0" w:color="auto"/>
          </w:divBdr>
          <w:divsChild>
            <w:div w:id="284502642">
              <w:marLeft w:val="0"/>
              <w:marRight w:val="0"/>
              <w:marTop w:val="0"/>
              <w:marBottom w:val="0"/>
              <w:divBdr>
                <w:top w:val="none" w:sz="0" w:space="0" w:color="auto"/>
                <w:left w:val="none" w:sz="0" w:space="0" w:color="auto"/>
                <w:bottom w:val="none" w:sz="0" w:space="0" w:color="auto"/>
                <w:right w:val="none" w:sz="0" w:space="0" w:color="auto"/>
              </w:divBdr>
              <w:divsChild>
                <w:div w:id="284502650">
                  <w:marLeft w:val="0"/>
                  <w:marRight w:val="0"/>
                  <w:marTop w:val="0"/>
                  <w:marBottom w:val="0"/>
                  <w:divBdr>
                    <w:top w:val="none" w:sz="0" w:space="0" w:color="auto"/>
                    <w:left w:val="none" w:sz="0" w:space="0" w:color="auto"/>
                    <w:bottom w:val="none" w:sz="0" w:space="0" w:color="auto"/>
                    <w:right w:val="none" w:sz="0" w:space="0" w:color="auto"/>
                  </w:divBdr>
                  <w:divsChild>
                    <w:div w:id="284502655">
                      <w:marLeft w:val="0"/>
                      <w:marRight w:val="0"/>
                      <w:marTop w:val="0"/>
                      <w:marBottom w:val="0"/>
                      <w:divBdr>
                        <w:top w:val="none" w:sz="0" w:space="0" w:color="auto"/>
                        <w:left w:val="none" w:sz="0" w:space="0" w:color="auto"/>
                        <w:bottom w:val="none" w:sz="0" w:space="0" w:color="auto"/>
                        <w:right w:val="none" w:sz="0" w:space="0" w:color="auto"/>
                      </w:divBdr>
                      <w:divsChild>
                        <w:div w:id="284502643">
                          <w:marLeft w:val="0"/>
                          <w:marRight w:val="0"/>
                          <w:marTop w:val="0"/>
                          <w:marBottom w:val="0"/>
                          <w:divBdr>
                            <w:top w:val="none" w:sz="0" w:space="0" w:color="auto"/>
                            <w:left w:val="none" w:sz="0" w:space="0" w:color="auto"/>
                            <w:bottom w:val="none" w:sz="0" w:space="0" w:color="auto"/>
                            <w:right w:val="none" w:sz="0" w:space="0" w:color="auto"/>
                          </w:divBdr>
                          <w:divsChild>
                            <w:div w:id="284502651">
                              <w:marLeft w:val="0"/>
                              <w:marRight w:val="0"/>
                              <w:marTop w:val="0"/>
                              <w:marBottom w:val="0"/>
                              <w:divBdr>
                                <w:top w:val="none" w:sz="0" w:space="0" w:color="auto"/>
                                <w:left w:val="none" w:sz="0" w:space="0" w:color="auto"/>
                                <w:bottom w:val="none" w:sz="0" w:space="0" w:color="auto"/>
                                <w:right w:val="none" w:sz="0" w:space="0" w:color="auto"/>
                              </w:divBdr>
                              <w:divsChild>
                                <w:div w:id="2845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2657">
      <w:marLeft w:val="0"/>
      <w:marRight w:val="0"/>
      <w:marTop w:val="0"/>
      <w:marBottom w:val="0"/>
      <w:divBdr>
        <w:top w:val="none" w:sz="0" w:space="0" w:color="auto"/>
        <w:left w:val="none" w:sz="0" w:space="0" w:color="auto"/>
        <w:bottom w:val="none" w:sz="0" w:space="0" w:color="auto"/>
        <w:right w:val="none" w:sz="0" w:space="0" w:color="auto"/>
      </w:divBdr>
    </w:div>
    <w:div w:id="284502658">
      <w:marLeft w:val="0"/>
      <w:marRight w:val="0"/>
      <w:marTop w:val="0"/>
      <w:marBottom w:val="0"/>
      <w:divBdr>
        <w:top w:val="none" w:sz="0" w:space="0" w:color="auto"/>
        <w:left w:val="none" w:sz="0" w:space="0" w:color="auto"/>
        <w:bottom w:val="none" w:sz="0" w:space="0" w:color="auto"/>
        <w:right w:val="none" w:sz="0" w:space="0" w:color="auto"/>
      </w:divBdr>
    </w:div>
    <w:div w:id="313223274">
      <w:bodyDiv w:val="1"/>
      <w:marLeft w:val="0"/>
      <w:marRight w:val="0"/>
      <w:marTop w:val="0"/>
      <w:marBottom w:val="0"/>
      <w:divBdr>
        <w:top w:val="none" w:sz="0" w:space="0" w:color="auto"/>
        <w:left w:val="none" w:sz="0" w:space="0" w:color="auto"/>
        <w:bottom w:val="none" w:sz="0" w:space="0" w:color="auto"/>
        <w:right w:val="none" w:sz="0" w:space="0" w:color="auto"/>
      </w:divBdr>
    </w:div>
    <w:div w:id="639773476">
      <w:bodyDiv w:val="1"/>
      <w:marLeft w:val="0"/>
      <w:marRight w:val="0"/>
      <w:marTop w:val="0"/>
      <w:marBottom w:val="0"/>
      <w:divBdr>
        <w:top w:val="none" w:sz="0" w:space="0" w:color="auto"/>
        <w:left w:val="none" w:sz="0" w:space="0" w:color="auto"/>
        <w:bottom w:val="none" w:sz="0" w:space="0" w:color="auto"/>
        <w:right w:val="none" w:sz="0" w:space="0" w:color="auto"/>
      </w:divBdr>
    </w:div>
    <w:div w:id="749079923">
      <w:bodyDiv w:val="1"/>
      <w:marLeft w:val="0"/>
      <w:marRight w:val="0"/>
      <w:marTop w:val="0"/>
      <w:marBottom w:val="0"/>
      <w:divBdr>
        <w:top w:val="none" w:sz="0" w:space="0" w:color="auto"/>
        <w:left w:val="none" w:sz="0" w:space="0" w:color="auto"/>
        <w:bottom w:val="none" w:sz="0" w:space="0" w:color="auto"/>
        <w:right w:val="none" w:sz="0" w:space="0" w:color="auto"/>
      </w:divBdr>
    </w:div>
    <w:div w:id="862792576">
      <w:bodyDiv w:val="1"/>
      <w:marLeft w:val="0"/>
      <w:marRight w:val="0"/>
      <w:marTop w:val="0"/>
      <w:marBottom w:val="0"/>
      <w:divBdr>
        <w:top w:val="none" w:sz="0" w:space="0" w:color="auto"/>
        <w:left w:val="none" w:sz="0" w:space="0" w:color="auto"/>
        <w:bottom w:val="none" w:sz="0" w:space="0" w:color="auto"/>
        <w:right w:val="none" w:sz="0" w:space="0" w:color="auto"/>
      </w:divBdr>
    </w:div>
    <w:div w:id="903956445">
      <w:bodyDiv w:val="1"/>
      <w:marLeft w:val="0"/>
      <w:marRight w:val="0"/>
      <w:marTop w:val="0"/>
      <w:marBottom w:val="0"/>
      <w:divBdr>
        <w:top w:val="none" w:sz="0" w:space="0" w:color="auto"/>
        <w:left w:val="none" w:sz="0" w:space="0" w:color="auto"/>
        <w:bottom w:val="none" w:sz="0" w:space="0" w:color="auto"/>
        <w:right w:val="none" w:sz="0" w:space="0" w:color="auto"/>
      </w:divBdr>
    </w:div>
    <w:div w:id="1085303451">
      <w:bodyDiv w:val="1"/>
      <w:marLeft w:val="0"/>
      <w:marRight w:val="0"/>
      <w:marTop w:val="0"/>
      <w:marBottom w:val="0"/>
      <w:divBdr>
        <w:top w:val="none" w:sz="0" w:space="0" w:color="auto"/>
        <w:left w:val="none" w:sz="0" w:space="0" w:color="auto"/>
        <w:bottom w:val="none" w:sz="0" w:space="0" w:color="auto"/>
        <w:right w:val="none" w:sz="0" w:space="0" w:color="auto"/>
      </w:divBdr>
    </w:div>
    <w:div w:id="1090663431">
      <w:bodyDiv w:val="1"/>
      <w:marLeft w:val="0"/>
      <w:marRight w:val="0"/>
      <w:marTop w:val="0"/>
      <w:marBottom w:val="0"/>
      <w:divBdr>
        <w:top w:val="none" w:sz="0" w:space="0" w:color="auto"/>
        <w:left w:val="none" w:sz="0" w:space="0" w:color="auto"/>
        <w:bottom w:val="none" w:sz="0" w:space="0" w:color="auto"/>
        <w:right w:val="none" w:sz="0" w:space="0" w:color="auto"/>
      </w:divBdr>
    </w:div>
    <w:div w:id="1610889287">
      <w:bodyDiv w:val="1"/>
      <w:marLeft w:val="0"/>
      <w:marRight w:val="0"/>
      <w:marTop w:val="0"/>
      <w:marBottom w:val="0"/>
      <w:divBdr>
        <w:top w:val="none" w:sz="0" w:space="0" w:color="auto"/>
        <w:left w:val="none" w:sz="0" w:space="0" w:color="auto"/>
        <w:bottom w:val="none" w:sz="0" w:space="0" w:color="auto"/>
        <w:right w:val="none" w:sz="0" w:space="0" w:color="auto"/>
      </w:divBdr>
    </w:div>
    <w:div w:id="2013024364">
      <w:bodyDiv w:val="1"/>
      <w:marLeft w:val="0"/>
      <w:marRight w:val="0"/>
      <w:marTop w:val="0"/>
      <w:marBottom w:val="0"/>
      <w:divBdr>
        <w:top w:val="none" w:sz="0" w:space="0" w:color="auto"/>
        <w:left w:val="none" w:sz="0" w:space="0" w:color="auto"/>
        <w:bottom w:val="none" w:sz="0" w:space="0" w:color="auto"/>
        <w:right w:val="none" w:sz="0" w:space="0" w:color="auto"/>
      </w:divBdr>
    </w:div>
    <w:div w:id="207002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shoenberg@cclp.org" TargetMode="External"/><Relationship Id="rId5" Type="http://schemas.openxmlformats.org/officeDocument/2006/relationships/settings" Target="settings.xml"/><Relationship Id="rId10" Type="http://schemas.openxmlformats.org/officeDocument/2006/relationships/hyperlink" Target="mailto:narya@cfyj.org" TargetMode="External"/><Relationship Id="rId4" Type="http://schemas.microsoft.com/office/2007/relationships/stylesWithEffects" Target="stylesWithEffects.xml"/><Relationship Id="rId9" Type="http://schemas.openxmlformats.org/officeDocument/2006/relationships/hyperlink" Target="mailto:jjcampaign@cfyj.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naspcenter.org/safe_schools/trauma.html" TargetMode="External"/><Relationship Id="rId3" Type="http://schemas.openxmlformats.org/officeDocument/2006/relationships/hyperlink" Target="http://www.ncjrs.gov/pdffiles1/226680.pdf" TargetMode="External"/><Relationship Id="rId7" Type="http://schemas.openxmlformats.org/officeDocument/2006/relationships/hyperlink" Target="http://www.nasmhpd.org/general_files/publications/ntac_pubs/Responding%20to%20Childhood%20Trauma%20-%20Hodas.pdf" TargetMode="External"/><Relationship Id="rId2" Type="http://schemas.openxmlformats.org/officeDocument/2006/relationships/hyperlink" Target="http://www.campaignforyouthjustice.org/documents/ChildrenBeing.pdf" TargetMode="External"/><Relationship Id="rId1" Type="http://schemas.openxmlformats.org/officeDocument/2006/relationships/hyperlink" Target="http://www.preventchildabuse.org/about_us/media_releases/pcaa_pew_economic_impact_study_final.pdf" TargetMode="External"/><Relationship Id="rId6" Type="http://schemas.openxmlformats.org/officeDocument/2006/relationships/hyperlink" Target="http://www.nprec.us/docs/boston_natureofproblem_krisberg.pdf" TargetMode="External"/><Relationship Id="rId5" Type="http://schemas.openxmlformats.org/officeDocument/2006/relationships/hyperlink" Target="http://findarticles.com/p/articles/mi_m1295/is_8_67/ai_106225215" TargetMode="External"/><Relationship Id="rId4" Type="http://schemas.openxmlformats.org/officeDocument/2006/relationships/hyperlink" Target="http://www.ncjrs.gov/pdffiles1/ojjdp/2136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AA3CE2-9D3A-4365-8D2E-953A9E59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5604</Words>
  <Characters>31944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37474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narya</dc:creator>
  <cp:lastModifiedBy>GBauer</cp:lastModifiedBy>
  <cp:revision>2</cp:revision>
  <cp:lastPrinted>2011-03-28T17:54:00Z</cp:lastPrinted>
  <dcterms:created xsi:type="dcterms:W3CDTF">2011-03-30T12:53:00Z</dcterms:created>
  <dcterms:modified xsi:type="dcterms:W3CDTF">2011-03-30T12:53:00Z</dcterms:modified>
</cp:coreProperties>
</file>